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Calibri"/>
          <w:color w:val="4472C4" w:themeColor="accent1"/>
          <w:szCs w:val="22"/>
        </w:rPr>
        <w:id w:val="301284370"/>
        <w:docPartObj>
          <w:docPartGallery w:val="Cover Pages"/>
          <w:docPartUnique/>
        </w:docPartObj>
      </w:sdtPr>
      <w:sdtEndPr>
        <w:rPr>
          <w:rFonts w:asciiTheme="majorBidi" w:hAnsiTheme="majorBidi" w:cstheme="majorBidi"/>
          <w:b/>
          <w:bCs/>
          <w:color w:val="auto"/>
          <w:u w:val="single"/>
        </w:rPr>
      </w:sdtEndPr>
      <w:sdtContent>
        <w:p w14:paraId="0052C296" w14:textId="77777777" w:rsidR="00402F09" w:rsidRPr="006F0D5B" w:rsidRDefault="00402F09" w:rsidP="00402F09">
          <w:pPr>
            <w:pStyle w:val="Default"/>
            <w:spacing w:line="480" w:lineRule="auto"/>
            <w:jc w:val="center"/>
            <w:rPr>
              <w:rFonts w:ascii="Times New Roman" w:hAnsi="Times New Roman" w:cs="Times New Roman"/>
            </w:rPr>
          </w:pPr>
        </w:p>
        <w:p w14:paraId="01FFAFC4" w14:textId="77777777" w:rsidR="00402F09" w:rsidRPr="006F0D5B" w:rsidRDefault="00402F09" w:rsidP="00402F09">
          <w:pPr>
            <w:pStyle w:val="Default"/>
            <w:spacing w:line="480" w:lineRule="auto"/>
            <w:jc w:val="center"/>
            <w:rPr>
              <w:rFonts w:ascii="Times New Roman" w:hAnsi="Times New Roman" w:cs="Times New Roman"/>
            </w:rPr>
          </w:pPr>
        </w:p>
        <w:p w14:paraId="49069951" w14:textId="77777777" w:rsidR="00402F09" w:rsidRPr="006F0D5B" w:rsidRDefault="00402F09" w:rsidP="00402F09">
          <w:pPr>
            <w:pStyle w:val="Default"/>
            <w:spacing w:line="480" w:lineRule="auto"/>
            <w:jc w:val="center"/>
            <w:rPr>
              <w:rFonts w:ascii="Times New Roman" w:hAnsi="Times New Roman" w:cs="Times New Roman"/>
            </w:rPr>
          </w:pPr>
        </w:p>
        <w:p w14:paraId="1D349999" w14:textId="77777777" w:rsidR="00402F09" w:rsidRPr="006F0D5B" w:rsidRDefault="00402F09" w:rsidP="00402F09">
          <w:pPr>
            <w:pStyle w:val="Default"/>
            <w:spacing w:line="480" w:lineRule="auto"/>
            <w:jc w:val="center"/>
            <w:rPr>
              <w:rFonts w:ascii="Times New Roman" w:hAnsi="Times New Roman" w:cs="Times New Roman"/>
            </w:rPr>
          </w:pPr>
        </w:p>
        <w:p w14:paraId="05F54CB1" w14:textId="77777777" w:rsidR="00402F09" w:rsidRPr="006F0D5B" w:rsidRDefault="00402F09" w:rsidP="00402F09">
          <w:pPr>
            <w:pStyle w:val="Default"/>
            <w:spacing w:line="480" w:lineRule="auto"/>
            <w:jc w:val="center"/>
            <w:rPr>
              <w:rFonts w:ascii="Times New Roman" w:hAnsi="Times New Roman" w:cs="Times New Roman"/>
            </w:rPr>
          </w:pPr>
        </w:p>
        <w:p w14:paraId="2E8BC811" w14:textId="77777777" w:rsidR="00402F09" w:rsidRPr="006F0D5B" w:rsidRDefault="00402F09" w:rsidP="00402F09">
          <w:pPr>
            <w:pStyle w:val="Default"/>
            <w:spacing w:line="480" w:lineRule="auto"/>
            <w:jc w:val="center"/>
            <w:rPr>
              <w:rFonts w:ascii="Times New Roman" w:hAnsi="Times New Roman" w:cs="Times New Roman"/>
            </w:rPr>
          </w:pPr>
        </w:p>
        <w:p w14:paraId="4386FCA2" w14:textId="77777777" w:rsidR="00402F09" w:rsidRPr="006F0D5B" w:rsidRDefault="00402F09" w:rsidP="00402F09">
          <w:pPr>
            <w:pStyle w:val="Default"/>
            <w:spacing w:line="480" w:lineRule="auto"/>
            <w:jc w:val="center"/>
            <w:rPr>
              <w:rFonts w:ascii="Times New Roman" w:hAnsi="Times New Roman" w:cs="Times New Roman"/>
              <w:sz w:val="40"/>
              <w:szCs w:val="40"/>
            </w:rPr>
          </w:pPr>
        </w:p>
        <w:p w14:paraId="5EF6D97D" w14:textId="07AFCC75" w:rsidR="00402F09" w:rsidRPr="006F0D5B" w:rsidRDefault="00654111" w:rsidP="00402F09">
          <w:pPr>
            <w:jc w:val="center"/>
            <w:rPr>
              <w:rFonts w:cs="Times New Roman"/>
              <w:sz w:val="40"/>
              <w:szCs w:val="40"/>
            </w:rPr>
          </w:pPr>
          <w:r w:rsidRPr="00654111">
            <w:rPr>
              <w:rFonts w:cs="Times New Roman"/>
              <w:color w:val="000000"/>
              <w:sz w:val="40"/>
              <w:szCs w:val="40"/>
            </w:rPr>
            <w:t>Praying Together and Staying Together: Faction Survival in Self-Determination Movements</w:t>
          </w:r>
        </w:p>
        <w:p w14:paraId="5B31653B" w14:textId="77777777" w:rsidR="00402F09" w:rsidRPr="006F0D5B" w:rsidRDefault="00402F09" w:rsidP="00402F09">
          <w:pPr>
            <w:jc w:val="center"/>
            <w:rPr>
              <w:rFonts w:cs="Times New Roman"/>
              <w:sz w:val="40"/>
              <w:szCs w:val="40"/>
            </w:rPr>
          </w:pPr>
        </w:p>
        <w:p w14:paraId="71CDCA1B" w14:textId="77777777" w:rsidR="00D25C09" w:rsidRPr="006F0D5B" w:rsidRDefault="00402F09" w:rsidP="00D25C09">
          <w:pPr>
            <w:jc w:val="center"/>
            <w:rPr>
              <w:rFonts w:cs="Times New Roman"/>
              <w:szCs w:val="24"/>
            </w:rPr>
          </w:pPr>
          <w:r w:rsidRPr="006F0D5B">
            <w:rPr>
              <w:rFonts w:cs="Times New Roman"/>
              <w:sz w:val="40"/>
              <w:szCs w:val="40"/>
            </w:rPr>
            <w:t>Sean Rao</w:t>
          </w:r>
        </w:p>
        <w:p w14:paraId="75E1C4AA" w14:textId="77777777" w:rsidR="00D25C09" w:rsidRPr="006F0D5B" w:rsidRDefault="00D25C09" w:rsidP="00D25C09">
          <w:pPr>
            <w:jc w:val="center"/>
            <w:rPr>
              <w:rFonts w:cs="Times New Roman"/>
              <w:szCs w:val="24"/>
            </w:rPr>
          </w:pPr>
        </w:p>
        <w:p w14:paraId="38F72E5B" w14:textId="130428F9" w:rsidR="00402F09" w:rsidRDefault="00104EFA" w:rsidP="00D25C09">
          <w:pPr>
            <w:jc w:val="center"/>
            <w:rPr>
              <w:rFonts w:cs="Times New Roman"/>
              <w:szCs w:val="24"/>
            </w:rPr>
          </w:pPr>
          <w:r>
            <w:rPr>
              <w:rFonts w:cs="Times New Roman"/>
              <w:szCs w:val="24"/>
            </w:rPr>
            <w:t xml:space="preserve">September </w:t>
          </w:r>
          <w:r w:rsidR="005C5699">
            <w:rPr>
              <w:rFonts w:cs="Times New Roman"/>
              <w:szCs w:val="24"/>
            </w:rPr>
            <w:t>9</w:t>
          </w:r>
          <w:r w:rsidR="00D934CD">
            <w:rPr>
              <w:rFonts w:cs="Times New Roman"/>
              <w:szCs w:val="24"/>
            </w:rPr>
            <w:t>, 2022</w:t>
          </w:r>
        </w:p>
        <w:p w14:paraId="1868A445" w14:textId="0172AD62" w:rsidR="00B9797A" w:rsidRDefault="00B9797A" w:rsidP="00D25C09">
          <w:pPr>
            <w:jc w:val="center"/>
            <w:rPr>
              <w:rFonts w:cs="Times New Roman"/>
              <w:szCs w:val="24"/>
            </w:rPr>
          </w:pPr>
        </w:p>
        <w:p w14:paraId="27723290" w14:textId="03B6546F" w:rsidR="00B9797A" w:rsidRPr="006F0D5B" w:rsidRDefault="00B9797A" w:rsidP="00D25C09">
          <w:pPr>
            <w:jc w:val="center"/>
            <w:rPr>
              <w:rFonts w:cs="Times New Roman"/>
              <w:szCs w:val="24"/>
            </w:rPr>
          </w:pPr>
          <w:r>
            <w:rPr>
              <w:rFonts w:cs="Times New Roman"/>
              <w:szCs w:val="24"/>
            </w:rPr>
            <w:t>University of Maryland</w:t>
          </w:r>
        </w:p>
        <w:p w14:paraId="22473416" w14:textId="77777777" w:rsidR="00D25C09" w:rsidRPr="006F0D5B" w:rsidRDefault="00D25C09" w:rsidP="00402F09">
          <w:pPr>
            <w:jc w:val="center"/>
            <w:rPr>
              <w:rFonts w:cs="Times New Roman"/>
              <w:szCs w:val="24"/>
            </w:rPr>
          </w:pPr>
        </w:p>
        <w:p w14:paraId="60F896BE" w14:textId="3477D249" w:rsidR="00402F09" w:rsidRPr="007407BF" w:rsidRDefault="00B9797A" w:rsidP="000905DF">
          <w:r w:rsidRPr="00B9797A">
            <w:rPr>
              <w:b/>
              <w:bCs/>
              <w:u w:val="single"/>
            </w:rPr>
            <w:t>Abstract:</w:t>
          </w:r>
          <w:r>
            <w:t xml:space="preserve"> </w:t>
          </w:r>
          <w:r w:rsidRPr="00E366B5">
            <w:t>Wh</w:t>
          </w:r>
          <w:r>
            <w:t xml:space="preserve">y do some organizations </w:t>
          </w:r>
          <w:r w:rsidR="00B03485">
            <w:t xml:space="preserve">persist in demanding </w:t>
          </w:r>
          <w:r>
            <w:t xml:space="preserve">autonomy or independence for decades while others </w:t>
          </w:r>
          <w:r w:rsidR="00991A85">
            <w:t xml:space="preserve">cease after </w:t>
          </w:r>
          <w:r>
            <w:t>only a short time?</w:t>
          </w:r>
          <w:r w:rsidRPr="00E366B5">
            <w:t xml:space="preserve"> </w:t>
          </w:r>
          <w:r w:rsidR="00AB59F3">
            <w:t xml:space="preserve">Research on civil war duration has rarely been linked with research on the duration of other strategies of contention, and little is known about the persistence of </w:t>
          </w:r>
          <w:r w:rsidR="00AB59F3" w:rsidRPr="00AB59F3">
            <w:t xml:space="preserve">contentious actors who may or may not become later rebels. </w:t>
          </w:r>
          <w:r w:rsidR="00991A85">
            <w:t>The p</w:t>
          </w:r>
          <w:r w:rsidR="00AB59F3" w:rsidRPr="00AB59F3">
            <w:t xml:space="preserve">ersistence of demand making organizations is an understudied, underlying factor in the study of contentious strategies and civil war duration. </w:t>
          </w:r>
          <w:r w:rsidRPr="00AB59F3">
            <w:t xml:space="preserve">I argue that </w:t>
          </w:r>
          <w:r w:rsidR="00C70187">
            <w:t xml:space="preserve">the persistence of </w:t>
          </w:r>
          <w:r w:rsidR="00AB59F3" w:rsidRPr="00AB59F3">
            <w:t>organizations</w:t>
          </w:r>
          <w:r w:rsidR="00C70187">
            <w:t>’ demands is primarily a function of membership continuity, and that organizations</w:t>
          </w:r>
          <w:r w:rsidR="00AB59F3" w:rsidRPr="00AB59F3">
            <w:t xml:space="preserve"> which base their political claims in religion or religion-like ideologies </w:t>
          </w:r>
          <w:r w:rsidR="00C70187">
            <w:t>are likely to have more committed</w:t>
          </w:r>
          <w:r w:rsidRPr="00AB59F3">
            <w:t xml:space="preserve"> members and, </w:t>
          </w:r>
          <w:r w:rsidR="00AB59F3" w:rsidRPr="00AB59F3">
            <w:t>ultimately</w:t>
          </w:r>
          <w:r w:rsidRPr="00AB59F3">
            <w:t xml:space="preserve">, persist </w:t>
          </w:r>
          <w:r w:rsidR="00AB59F3" w:rsidRPr="00AB59F3">
            <w:t>in making demands than other organizations</w:t>
          </w:r>
          <w:r w:rsidRPr="00AB59F3">
            <w:t>. I test this on</w:t>
          </w:r>
          <w:r>
            <w:t xml:space="preserve"> a novel cross-national time series </w:t>
          </w:r>
          <w:r w:rsidR="00991A85">
            <w:t xml:space="preserve">dataset </w:t>
          </w:r>
          <w:r>
            <w:t>of organizations within self-determination movements. I classify each organization in the dataset by whether it has a religion or religion-like ideology as the foundation of its political goals, not merely as an identity, and whether it requires public commitment among the members, such as religious study or dress codes</w:t>
          </w:r>
          <w:r w:rsidR="00CE27B9">
            <w:t>, as membership practices</w:t>
          </w:r>
          <w:r>
            <w:t xml:space="preserve">. I find </w:t>
          </w:r>
          <w:r w:rsidR="00AB59F3">
            <w:t xml:space="preserve">evidence </w:t>
          </w:r>
          <w:r>
            <w:t xml:space="preserve">that religious organizations </w:t>
          </w:r>
          <w:r w:rsidR="001C6A02">
            <w:t xml:space="preserve">and those with religion-like ideology </w:t>
          </w:r>
          <w:r>
            <w:t xml:space="preserve">are more likely to persist compared to nonreligious organizations. </w:t>
          </w:r>
          <w:r w:rsidR="001C6A02">
            <w:t xml:space="preserve">Additionally, </w:t>
          </w:r>
          <w:r>
            <w:t xml:space="preserve">organizations which </w:t>
          </w:r>
          <w:r w:rsidR="001C6A02">
            <w:t xml:space="preserve">encourage membership practices demonstrating </w:t>
          </w:r>
          <w:r>
            <w:t xml:space="preserve">public commitment </w:t>
          </w:r>
          <w:r w:rsidR="000905DF">
            <w:t>do so</w:t>
          </w:r>
          <w:r w:rsidR="001C6A02">
            <w:t xml:space="preserve"> as well</w:t>
          </w:r>
          <w:r>
            <w:t xml:space="preserve">. </w:t>
          </w:r>
          <w:bookmarkStart w:id="0" w:name="_Hlk113612102"/>
          <w:r>
            <w:t xml:space="preserve">Thus, </w:t>
          </w:r>
          <w:r w:rsidR="00897CC9">
            <w:t xml:space="preserve">both religion and </w:t>
          </w:r>
          <w:r w:rsidR="000905DF">
            <w:t xml:space="preserve">behavioral incentives </w:t>
          </w:r>
          <w:r w:rsidR="00897CC9">
            <w:t xml:space="preserve">sometimes </w:t>
          </w:r>
          <w:r w:rsidR="000905DF">
            <w:t xml:space="preserve">associated with religion </w:t>
          </w:r>
          <w:r w:rsidR="00FA55A6">
            <w:t>facilitate</w:t>
          </w:r>
          <w:r w:rsidR="000905DF">
            <w:t xml:space="preserve"> the persistence of demands by self-determination organizations, revealing a new mechanism linking religion and contentious action, including civil war duration.</w:t>
          </w:r>
        </w:p>
      </w:sdtContent>
    </w:sdt>
    <w:bookmarkEnd w:id="0" w:displacedByCustomXml="prev"/>
    <w:p w14:paraId="5D332594" w14:textId="486DA41C" w:rsidR="00FC6B6F" w:rsidRPr="000C5990" w:rsidRDefault="00973B1F" w:rsidP="000C5990">
      <w:pPr>
        <w:pStyle w:val="Heading1"/>
        <w:spacing w:before="0" w:line="480" w:lineRule="auto"/>
      </w:pPr>
      <w:r w:rsidRPr="000C5990">
        <w:lastRenderedPageBreak/>
        <w:t>Introduction</w:t>
      </w:r>
    </w:p>
    <w:p w14:paraId="313D9BF7" w14:textId="7A4AEC25" w:rsidR="000C5990" w:rsidRDefault="000C5990" w:rsidP="00987F61">
      <w:pPr>
        <w:spacing w:line="480" w:lineRule="auto"/>
        <w:ind w:firstLine="720"/>
        <w:rPr>
          <w:rFonts w:asciiTheme="majorBidi" w:hAnsiTheme="majorBidi" w:cstheme="majorBidi"/>
          <w:szCs w:val="24"/>
        </w:rPr>
      </w:pPr>
      <w:r w:rsidRPr="000C5990">
        <w:t xml:space="preserve">Why do some organizations persist in demanding autonomy or independence for decades while others </w:t>
      </w:r>
      <w:r w:rsidR="00C11754">
        <w:t xml:space="preserve">persist in making such demands for </w:t>
      </w:r>
      <w:r w:rsidRPr="000C5990">
        <w:t>only a short time?</w:t>
      </w:r>
      <w:r>
        <w:t xml:space="preserve"> </w:t>
      </w:r>
      <w:r w:rsidR="009F5BC0">
        <w:t xml:space="preserve">Many ethnic groups seek self-determination </w:t>
      </w:r>
      <w:r w:rsidR="00867166">
        <w:t xml:space="preserve">from </w:t>
      </w:r>
      <w:r w:rsidR="00D073AC">
        <w:t>state</w:t>
      </w:r>
      <w:r w:rsidR="00867166">
        <w:t>s, but</w:t>
      </w:r>
      <w:r w:rsidR="00D073AC">
        <w:t xml:space="preserve"> </w:t>
      </w:r>
      <w:r w:rsidR="00867166">
        <w:t>t</w:t>
      </w:r>
      <w:r w:rsidR="00D073AC">
        <w:t>hese movements are not unitary, consist</w:t>
      </w:r>
      <w:r w:rsidR="00867166">
        <w:t>ing</w:t>
      </w:r>
      <w:r w:rsidR="00D073AC">
        <w:t xml:space="preserve"> of many specific </w:t>
      </w:r>
      <w:r w:rsidR="00FB149E">
        <w:t xml:space="preserve">organizational </w:t>
      </w:r>
      <w:r w:rsidR="00D073AC">
        <w:t xml:space="preserve">actors (Cunningham, Bakke, Seymour 2012). </w:t>
      </w:r>
      <w:r w:rsidR="00987F61">
        <w:t xml:space="preserve">Some of these </w:t>
      </w:r>
      <w:r w:rsidR="00FB149E">
        <w:t xml:space="preserve">organizations persist for decades, while others arise among an ethnic group which is already represented by existing organizations only to quickly fade from the scene, leaving </w:t>
      </w:r>
      <w:r w:rsidR="00FE3344">
        <w:t xml:space="preserve">others to continue </w:t>
      </w:r>
      <w:r w:rsidR="00FB149E">
        <w:t xml:space="preserve">the movement. </w:t>
      </w:r>
      <w:r w:rsidR="009F5BC0">
        <w:t xml:space="preserve">Consider that </w:t>
      </w:r>
      <w:r w:rsidR="00C70187">
        <w:t xml:space="preserve">organizations </w:t>
      </w:r>
      <w:r w:rsidR="00FB149E">
        <w:t>demanding self-determination for the Afar in Ethiopia have persisted from 1974 to the present day. T</w:t>
      </w:r>
      <w:r w:rsidR="009F5BC0">
        <w:t xml:space="preserve">he </w:t>
      </w:r>
      <w:r>
        <w:t xml:space="preserve">Liberation Movement of the </w:t>
      </w:r>
      <w:proofErr w:type="spellStart"/>
      <w:r>
        <w:t>Afars</w:t>
      </w:r>
      <w:proofErr w:type="spellEnd"/>
      <w:r>
        <w:t xml:space="preserve"> has been active </w:t>
      </w:r>
      <w:r w:rsidR="009F5BC0">
        <w:t xml:space="preserve">in demanding self-determination for the Afar </w:t>
      </w:r>
      <w:r w:rsidR="00FB149E">
        <w:t xml:space="preserve">for this entire period. </w:t>
      </w:r>
      <w:r w:rsidR="009F5BC0">
        <w:t xml:space="preserve">By contrast, another Afar organization demanding self-determination, the </w:t>
      </w:r>
      <w:r w:rsidR="009F5BC0" w:rsidRPr="00304849">
        <w:rPr>
          <w:rFonts w:asciiTheme="majorBidi" w:hAnsiTheme="majorBidi" w:cstheme="majorBidi"/>
          <w:szCs w:val="24"/>
        </w:rPr>
        <w:t>Afar National Democratic Movement</w:t>
      </w:r>
      <w:r w:rsidR="009F5BC0">
        <w:rPr>
          <w:rFonts w:asciiTheme="majorBidi" w:hAnsiTheme="majorBidi" w:cstheme="majorBidi"/>
          <w:szCs w:val="24"/>
        </w:rPr>
        <w:t xml:space="preserve">, was only active between 1994 and 1999. </w:t>
      </w:r>
      <w:r w:rsidR="00987F61">
        <w:t>Any actor in a dispute could potentially veto a bargain between the state and the self-determination movement, provided their preferences were distinct from the others (Cunningham 2011, 33, 44). Moreover, the more extreme the demands of each actor, the more likely war is to break out</w:t>
      </w:r>
      <w:r w:rsidR="008A3804">
        <w:t xml:space="preserve">; moderation in organizations’ demands, by contrast, makes a peaceful resolution more likely </w:t>
      </w:r>
      <w:r w:rsidR="00987F61">
        <w:t>(</w:t>
      </w:r>
      <w:proofErr w:type="spellStart"/>
      <w:r w:rsidR="00987F61">
        <w:t>Jenne</w:t>
      </w:r>
      <w:proofErr w:type="spellEnd"/>
      <w:r w:rsidR="00987F61">
        <w:t xml:space="preserve"> 2004).</w:t>
      </w:r>
      <w:r w:rsidR="00987F61" w:rsidDel="00000494">
        <w:rPr>
          <w:rStyle w:val="CommentReference"/>
        </w:rPr>
        <w:t xml:space="preserve"> </w:t>
      </w:r>
      <w:r w:rsidR="00987F61">
        <w:t xml:space="preserve">So, the persistence of organizations as potential veto-players and of their demands as potential limits on bargains should substantially increase the likelihood of conflict. Yet, </w:t>
      </w:r>
      <w:r w:rsidR="00987F61">
        <w:rPr>
          <w:rFonts w:asciiTheme="majorBidi" w:hAnsiTheme="majorBidi" w:cstheme="majorBidi"/>
          <w:szCs w:val="24"/>
        </w:rPr>
        <w:t>w</w:t>
      </w:r>
      <w:r w:rsidR="001338A3">
        <w:rPr>
          <w:rFonts w:asciiTheme="majorBidi" w:hAnsiTheme="majorBidi" w:cstheme="majorBidi"/>
          <w:szCs w:val="24"/>
        </w:rPr>
        <w:t>hat explains such a variation in the ability of each organization to persist in making demands against the government</w:t>
      </w:r>
      <w:r w:rsidR="00CE0371">
        <w:rPr>
          <w:rFonts w:asciiTheme="majorBidi" w:hAnsiTheme="majorBidi" w:cstheme="majorBidi"/>
          <w:szCs w:val="24"/>
        </w:rPr>
        <w:t>?</w:t>
      </w:r>
    </w:p>
    <w:p w14:paraId="6FC22E9F" w14:textId="0C088ACE" w:rsidR="00CE0371" w:rsidRDefault="00CE0371" w:rsidP="00D77411">
      <w:pPr>
        <w:spacing w:line="480" w:lineRule="auto"/>
        <w:rPr>
          <w:rFonts w:asciiTheme="majorBidi" w:hAnsiTheme="majorBidi" w:cstheme="majorBidi"/>
          <w:szCs w:val="24"/>
        </w:rPr>
      </w:pPr>
    </w:p>
    <w:p w14:paraId="4B79AC1E" w14:textId="56147ED9" w:rsidR="00D55D37" w:rsidRPr="008E57F3" w:rsidRDefault="0080704B" w:rsidP="00D55D37">
      <w:pPr>
        <w:spacing w:line="480" w:lineRule="auto"/>
        <w:ind w:firstLine="720"/>
        <w:rPr>
          <w:rFonts w:asciiTheme="majorBidi" w:hAnsiTheme="majorBidi" w:cstheme="majorBidi"/>
          <w:szCs w:val="24"/>
        </w:rPr>
      </w:pPr>
      <w:r>
        <w:rPr>
          <w:rFonts w:asciiTheme="majorBidi" w:hAnsiTheme="majorBidi" w:cstheme="majorBidi"/>
          <w:szCs w:val="24"/>
        </w:rPr>
        <w:t xml:space="preserve">I argue that the rhetorical basis of an organization’s political claims </w:t>
      </w:r>
      <w:r w:rsidR="0086329A">
        <w:rPr>
          <w:rFonts w:asciiTheme="majorBidi" w:hAnsiTheme="majorBidi" w:cstheme="majorBidi"/>
          <w:szCs w:val="24"/>
        </w:rPr>
        <w:t xml:space="preserve">as well as the </w:t>
      </w:r>
      <w:r>
        <w:rPr>
          <w:rFonts w:asciiTheme="majorBidi" w:hAnsiTheme="majorBidi" w:cstheme="majorBidi"/>
          <w:szCs w:val="24"/>
        </w:rPr>
        <w:t xml:space="preserve">ideas </w:t>
      </w:r>
      <w:r w:rsidR="0086329A">
        <w:rPr>
          <w:rFonts w:asciiTheme="majorBidi" w:hAnsiTheme="majorBidi" w:cstheme="majorBidi"/>
          <w:szCs w:val="24"/>
        </w:rPr>
        <w:t xml:space="preserve">that </w:t>
      </w:r>
      <w:r>
        <w:rPr>
          <w:rFonts w:asciiTheme="majorBidi" w:hAnsiTheme="majorBidi" w:cstheme="majorBidi"/>
          <w:szCs w:val="24"/>
        </w:rPr>
        <w:t xml:space="preserve">strengthen ties between an organization’s members </w:t>
      </w:r>
      <w:r w:rsidR="0086329A">
        <w:rPr>
          <w:rFonts w:asciiTheme="majorBidi" w:hAnsiTheme="majorBidi" w:cstheme="majorBidi"/>
          <w:szCs w:val="24"/>
        </w:rPr>
        <w:t xml:space="preserve">and </w:t>
      </w:r>
      <w:r>
        <w:rPr>
          <w:rFonts w:asciiTheme="majorBidi" w:hAnsiTheme="majorBidi" w:cstheme="majorBidi"/>
          <w:szCs w:val="24"/>
        </w:rPr>
        <w:t xml:space="preserve">leadership grant an organization the cohesion needed to persist over time. </w:t>
      </w:r>
      <w:r w:rsidR="003C1A99">
        <w:rPr>
          <w:rFonts w:asciiTheme="majorBidi" w:hAnsiTheme="majorBidi" w:cstheme="majorBidi"/>
          <w:szCs w:val="24"/>
        </w:rPr>
        <w:t xml:space="preserve">Particularly, </w:t>
      </w:r>
      <w:r w:rsidR="0086329A">
        <w:rPr>
          <w:rFonts w:asciiTheme="majorBidi" w:hAnsiTheme="majorBidi" w:cstheme="majorBidi"/>
          <w:szCs w:val="24"/>
        </w:rPr>
        <w:t xml:space="preserve">I further argue </w:t>
      </w:r>
      <w:r w:rsidR="00D55D37">
        <w:rPr>
          <w:rFonts w:asciiTheme="majorBidi" w:hAnsiTheme="majorBidi" w:cstheme="majorBidi"/>
          <w:szCs w:val="24"/>
        </w:rPr>
        <w:t xml:space="preserve">that </w:t>
      </w:r>
      <w:r w:rsidR="00D55D37">
        <w:t>o</w:t>
      </w:r>
      <w:r w:rsidR="00A0244C">
        <w:rPr>
          <w:rFonts w:asciiTheme="majorBidi" w:hAnsiTheme="majorBidi" w:cstheme="majorBidi"/>
          <w:szCs w:val="24"/>
        </w:rPr>
        <w:t xml:space="preserve">rganizations which derive </w:t>
      </w:r>
      <w:r w:rsidR="00A0244C">
        <w:rPr>
          <w:rFonts w:asciiTheme="majorBidi" w:hAnsiTheme="majorBidi" w:cstheme="majorBidi"/>
          <w:szCs w:val="24"/>
        </w:rPr>
        <w:lastRenderedPageBreak/>
        <w:t xml:space="preserve">their demands from </w:t>
      </w:r>
      <w:proofErr w:type="gramStart"/>
      <w:r w:rsidR="00A0244C">
        <w:rPr>
          <w:rFonts w:asciiTheme="majorBidi" w:hAnsiTheme="majorBidi" w:cstheme="majorBidi"/>
          <w:szCs w:val="24"/>
        </w:rPr>
        <w:t>religion</w:t>
      </w:r>
      <w:proofErr w:type="gramEnd"/>
      <w:r w:rsidR="00A0244C">
        <w:rPr>
          <w:rFonts w:asciiTheme="majorBidi" w:hAnsiTheme="majorBidi" w:cstheme="majorBidi"/>
          <w:szCs w:val="24"/>
        </w:rPr>
        <w:t xml:space="preserve"> or a strong, religion-like ideology enjoy an advantage in mobilization. </w:t>
      </w:r>
      <w:r w:rsidR="003C1A99">
        <w:rPr>
          <w:rFonts w:asciiTheme="majorBidi" w:hAnsiTheme="majorBidi" w:cstheme="majorBidi"/>
          <w:szCs w:val="24"/>
        </w:rPr>
        <w:t>T</w:t>
      </w:r>
      <w:r w:rsidR="007F665B">
        <w:rPr>
          <w:rFonts w:asciiTheme="majorBidi" w:hAnsiTheme="majorBidi" w:cstheme="majorBidi"/>
          <w:szCs w:val="24"/>
        </w:rPr>
        <w:t xml:space="preserve">hese organizations often have </w:t>
      </w:r>
      <w:r w:rsidR="00CE27B9">
        <w:rPr>
          <w:rFonts w:asciiTheme="majorBidi" w:hAnsiTheme="majorBidi" w:cstheme="majorBidi"/>
          <w:szCs w:val="24"/>
        </w:rPr>
        <w:t xml:space="preserve">membership </w:t>
      </w:r>
      <w:r w:rsidR="00A0244C">
        <w:rPr>
          <w:rFonts w:asciiTheme="majorBidi" w:hAnsiTheme="majorBidi" w:cstheme="majorBidi"/>
          <w:szCs w:val="24"/>
        </w:rPr>
        <w:t>standards</w:t>
      </w:r>
      <w:r w:rsidR="00CE27B9">
        <w:rPr>
          <w:rFonts w:asciiTheme="majorBidi" w:hAnsiTheme="majorBidi" w:cstheme="majorBidi"/>
          <w:szCs w:val="24"/>
        </w:rPr>
        <w:t xml:space="preserve"> which </w:t>
      </w:r>
      <w:r w:rsidR="00E2296A">
        <w:rPr>
          <w:rFonts w:asciiTheme="majorBidi" w:hAnsiTheme="majorBidi" w:cstheme="majorBidi"/>
          <w:szCs w:val="24"/>
        </w:rPr>
        <w:t xml:space="preserve">set </w:t>
      </w:r>
      <w:r w:rsidR="00A0244C">
        <w:rPr>
          <w:rFonts w:asciiTheme="majorBidi" w:hAnsiTheme="majorBidi" w:cstheme="majorBidi"/>
          <w:szCs w:val="24"/>
        </w:rPr>
        <w:t xml:space="preserve">behavior and </w:t>
      </w:r>
      <w:r w:rsidR="00CE27B9">
        <w:rPr>
          <w:rFonts w:asciiTheme="majorBidi" w:hAnsiTheme="majorBidi" w:cstheme="majorBidi"/>
          <w:szCs w:val="24"/>
        </w:rPr>
        <w:t xml:space="preserve">encourage </w:t>
      </w:r>
      <w:r w:rsidR="00910FF9" w:rsidRPr="000C5990">
        <w:rPr>
          <w:rFonts w:asciiTheme="majorBidi" w:hAnsiTheme="majorBidi" w:cstheme="majorBidi"/>
          <w:szCs w:val="24"/>
        </w:rPr>
        <w:t xml:space="preserve">participation </w:t>
      </w:r>
      <w:r w:rsidR="00A0244C">
        <w:rPr>
          <w:rFonts w:asciiTheme="majorBidi" w:hAnsiTheme="majorBidi" w:cstheme="majorBidi"/>
          <w:szCs w:val="24"/>
        </w:rPr>
        <w:t xml:space="preserve">in nonpolitical activities which organizations expect their members to uphold. These allow members of each organization to signal their commitment to each other, granting an </w:t>
      </w:r>
      <w:r w:rsidR="00910FF9" w:rsidRPr="000C5990">
        <w:rPr>
          <w:rFonts w:asciiTheme="majorBidi" w:hAnsiTheme="majorBidi" w:cstheme="majorBidi"/>
          <w:szCs w:val="24"/>
        </w:rPr>
        <w:t xml:space="preserve">advantage in recruiting and retaining </w:t>
      </w:r>
      <w:r w:rsidR="00750DCD" w:rsidRPr="000C5990">
        <w:rPr>
          <w:rFonts w:asciiTheme="majorBidi" w:hAnsiTheme="majorBidi" w:cstheme="majorBidi"/>
          <w:szCs w:val="24"/>
        </w:rPr>
        <w:t>specific individuals</w:t>
      </w:r>
      <w:r w:rsidR="00910FF9" w:rsidRPr="000C5990">
        <w:rPr>
          <w:rFonts w:asciiTheme="majorBidi" w:hAnsiTheme="majorBidi" w:cstheme="majorBidi"/>
          <w:szCs w:val="24"/>
        </w:rPr>
        <w:t xml:space="preserve"> through the production of solidary goods. This mechanism has been demonstrated for violent mobilization </w:t>
      </w:r>
      <w:r w:rsidR="007F2814" w:rsidRPr="000C5990">
        <w:rPr>
          <w:rFonts w:asciiTheme="majorBidi" w:hAnsiTheme="majorBidi" w:cstheme="majorBidi"/>
          <w:szCs w:val="24"/>
        </w:rPr>
        <w:t xml:space="preserve">in a limited number of cases </w:t>
      </w:r>
      <w:r w:rsidR="00910FF9" w:rsidRPr="000C5990">
        <w:rPr>
          <w:rFonts w:asciiTheme="majorBidi" w:hAnsiTheme="majorBidi" w:cstheme="majorBidi"/>
          <w:szCs w:val="24"/>
        </w:rPr>
        <w:t xml:space="preserve">(Berman 2009) </w:t>
      </w:r>
      <w:r w:rsidR="00613721" w:rsidRPr="000C5990">
        <w:rPr>
          <w:rFonts w:asciiTheme="majorBidi" w:hAnsiTheme="majorBidi" w:cstheme="majorBidi"/>
          <w:szCs w:val="24"/>
        </w:rPr>
        <w:t xml:space="preserve">but has not been linked to the mobilization needs of different tactics of resistance broadly. </w:t>
      </w:r>
      <w:r w:rsidR="00D55D37" w:rsidRPr="00D55D37">
        <w:rPr>
          <w:rFonts w:asciiTheme="majorBidi" w:hAnsiTheme="majorBidi" w:cstheme="majorBidi"/>
          <w:szCs w:val="24"/>
        </w:rPr>
        <w:t xml:space="preserve"> </w:t>
      </w:r>
      <w:r w:rsidR="00D55D37">
        <w:rPr>
          <w:rFonts w:asciiTheme="majorBidi" w:hAnsiTheme="majorBidi" w:cstheme="majorBidi"/>
          <w:szCs w:val="24"/>
        </w:rPr>
        <w:t xml:space="preserve">Moreover, self-determination organizations vary substantially on whether or not they make their demands based in </w:t>
      </w:r>
      <w:r w:rsidR="00256048">
        <w:rPr>
          <w:rFonts w:asciiTheme="majorBidi" w:hAnsiTheme="majorBidi" w:cstheme="majorBidi"/>
          <w:szCs w:val="24"/>
        </w:rPr>
        <w:t>religion.</w:t>
      </w:r>
      <w:r w:rsidR="00D55D37">
        <w:rPr>
          <w:rFonts w:asciiTheme="majorBidi" w:hAnsiTheme="majorBidi" w:cstheme="majorBidi"/>
          <w:szCs w:val="24"/>
        </w:rPr>
        <w:t xml:space="preserve"> For example, the Liberation Movement of the </w:t>
      </w:r>
      <w:proofErr w:type="spellStart"/>
      <w:r w:rsidR="00D55D37">
        <w:rPr>
          <w:rFonts w:asciiTheme="majorBidi" w:hAnsiTheme="majorBidi" w:cstheme="majorBidi"/>
          <w:szCs w:val="24"/>
        </w:rPr>
        <w:t>Afars</w:t>
      </w:r>
      <w:proofErr w:type="spellEnd"/>
      <w:r w:rsidR="00D55D37">
        <w:rPr>
          <w:rFonts w:asciiTheme="majorBidi" w:hAnsiTheme="majorBidi" w:cstheme="majorBidi"/>
          <w:szCs w:val="24"/>
        </w:rPr>
        <w:t xml:space="preserve"> adhered to an Islamist ideology for most of its existence, while the Afar National Democratic Movement never adhered to any religious or similar ideology.</w:t>
      </w:r>
    </w:p>
    <w:p w14:paraId="03A52948" w14:textId="15CCE60C" w:rsidR="00910FF9" w:rsidRDefault="00910FF9" w:rsidP="00D55D37">
      <w:pPr>
        <w:spacing w:line="480" w:lineRule="auto"/>
        <w:ind w:firstLine="720"/>
        <w:rPr>
          <w:rFonts w:asciiTheme="majorBidi" w:hAnsiTheme="majorBidi" w:cstheme="majorBidi"/>
          <w:szCs w:val="24"/>
        </w:rPr>
      </w:pPr>
    </w:p>
    <w:p w14:paraId="57A5579A" w14:textId="3E888B08" w:rsidR="00472B75" w:rsidRPr="008B2E4F" w:rsidRDefault="00A0244C" w:rsidP="008B2E4F">
      <w:pPr>
        <w:spacing w:line="480" w:lineRule="auto"/>
        <w:ind w:firstLine="720"/>
        <w:rPr>
          <w:rFonts w:asciiTheme="majorBidi" w:hAnsiTheme="majorBidi" w:cstheme="majorBidi"/>
          <w:b/>
          <w:bCs/>
          <w:szCs w:val="24"/>
        </w:rPr>
      </w:pPr>
      <w:r>
        <w:rPr>
          <w:rFonts w:asciiTheme="majorBidi" w:hAnsiTheme="majorBidi" w:cstheme="majorBidi"/>
          <w:szCs w:val="24"/>
        </w:rPr>
        <w:t xml:space="preserve">Using a novel dataset on the demands and </w:t>
      </w:r>
      <w:r w:rsidR="00505C5A">
        <w:rPr>
          <w:rFonts w:asciiTheme="majorBidi" w:hAnsiTheme="majorBidi" w:cstheme="majorBidi"/>
          <w:szCs w:val="24"/>
        </w:rPr>
        <w:t xml:space="preserve">membership </w:t>
      </w:r>
      <w:r>
        <w:rPr>
          <w:rFonts w:asciiTheme="majorBidi" w:hAnsiTheme="majorBidi" w:cstheme="majorBidi"/>
          <w:szCs w:val="24"/>
        </w:rPr>
        <w:t>practices of organizations in self-determination movements</w:t>
      </w:r>
      <w:r w:rsidR="00505C5A">
        <w:rPr>
          <w:rFonts w:asciiTheme="majorBidi" w:hAnsiTheme="majorBidi" w:cstheme="majorBidi"/>
          <w:szCs w:val="24"/>
        </w:rPr>
        <w:t xml:space="preserve">. </w:t>
      </w:r>
      <w:r>
        <w:rPr>
          <w:rFonts w:asciiTheme="majorBidi" w:hAnsiTheme="majorBidi" w:cstheme="majorBidi"/>
          <w:szCs w:val="24"/>
        </w:rPr>
        <w:t xml:space="preserve"> I find some evidence that organizations which derive their demands against the state from </w:t>
      </w:r>
      <w:r w:rsidR="0092351C">
        <w:rPr>
          <w:rFonts w:asciiTheme="majorBidi" w:hAnsiTheme="majorBidi" w:cstheme="majorBidi"/>
          <w:szCs w:val="24"/>
        </w:rPr>
        <w:t xml:space="preserve">primarily from </w:t>
      </w:r>
      <w:r>
        <w:rPr>
          <w:rFonts w:asciiTheme="majorBidi" w:hAnsiTheme="majorBidi" w:cstheme="majorBidi"/>
          <w:szCs w:val="24"/>
        </w:rPr>
        <w:t xml:space="preserve">religion or a religion-like ideology </w:t>
      </w:r>
      <w:r w:rsidR="00505C5A">
        <w:rPr>
          <w:rFonts w:asciiTheme="majorBidi" w:hAnsiTheme="majorBidi" w:cstheme="majorBidi"/>
          <w:szCs w:val="24"/>
        </w:rPr>
        <w:t xml:space="preserve">alone </w:t>
      </w:r>
      <w:r>
        <w:rPr>
          <w:rFonts w:asciiTheme="majorBidi" w:hAnsiTheme="majorBidi" w:cstheme="majorBidi"/>
          <w:szCs w:val="24"/>
        </w:rPr>
        <w:t xml:space="preserve">are less likely to cease making demands in any given year. </w:t>
      </w:r>
      <w:r w:rsidR="00505C5A">
        <w:rPr>
          <w:rFonts w:asciiTheme="majorBidi" w:hAnsiTheme="majorBidi" w:cstheme="majorBidi"/>
          <w:szCs w:val="24"/>
        </w:rPr>
        <w:t xml:space="preserve">I find even stronger support for the role played by </w:t>
      </w:r>
      <w:r>
        <w:rPr>
          <w:rFonts w:asciiTheme="majorBidi" w:hAnsiTheme="majorBidi" w:cstheme="majorBidi"/>
          <w:szCs w:val="24"/>
        </w:rPr>
        <w:t>standards of behavior and participation in nonpolitical activities</w:t>
      </w:r>
      <w:r w:rsidR="00505C5A">
        <w:rPr>
          <w:rFonts w:asciiTheme="majorBidi" w:hAnsiTheme="majorBidi" w:cstheme="majorBidi"/>
          <w:szCs w:val="24"/>
        </w:rPr>
        <w:t xml:space="preserve">, which I </w:t>
      </w:r>
      <w:r w:rsidR="0092351C">
        <w:rPr>
          <w:rFonts w:asciiTheme="majorBidi" w:hAnsiTheme="majorBidi" w:cstheme="majorBidi"/>
          <w:szCs w:val="24"/>
        </w:rPr>
        <w:t>argue</w:t>
      </w:r>
      <w:r w:rsidR="00505C5A">
        <w:rPr>
          <w:rFonts w:asciiTheme="majorBidi" w:hAnsiTheme="majorBidi" w:cstheme="majorBidi"/>
          <w:szCs w:val="24"/>
        </w:rPr>
        <w:t xml:space="preserve"> </w:t>
      </w:r>
      <w:r w:rsidR="0092351C">
        <w:rPr>
          <w:rFonts w:asciiTheme="majorBidi" w:hAnsiTheme="majorBidi" w:cstheme="majorBidi"/>
          <w:szCs w:val="24"/>
        </w:rPr>
        <w:t xml:space="preserve">serve as a </w:t>
      </w:r>
      <w:r w:rsidR="00505C5A">
        <w:rPr>
          <w:rFonts w:asciiTheme="majorBidi" w:hAnsiTheme="majorBidi" w:cstheme="majorBidi"/>
          <w:szCs w:val="24"/>
        </w:rPr>
        <w:t xml:space="preserve">commitment mechanism. </w:t>
      </w:r>
      <w:r w:rsidR="00DB5971">
        <w:rPr>
          <w:rFonts w:asciiTheme="majorBidi" w:hAnsiTheme="majorBidi" w:cstheme="majorBidi"/>
          <w:szCs w:val="24"/>
        </w:rPr>
        <w:t xml:space="preserve">Though associated with religious demands, these are </w:t>
      </w:r>
      <w:r w:rsidR="00505C5A">
        <w:rPr>
          <w:rFonts w:asciiTheme="majorBidi" w:hAnsiTheme="majorBidi" w:cstheme="majorBidi"/>
          <w:szCs w:val="24"/>
        </w:rPr>
        <w:t xml:space="preserve">practices are </w:t>
      </w:r>
      <w:r w:rsidR="00DB5971">
        <w:rPr>
          <w:rFonts w:asciiTheme="majorBidi" w:hAnsiTheme="majorBidi" w:cstheme="majorBidi"/>
          <w:szCs w:val="24"/>
        </w:rPr>
        <w:t>conceptually different</w:t>
      </w:r>
      <w:r w:rsidR="006543AD">
        <w:rPr>
          <w:rFonts w:asciiTheme="majorBidi" w:hAnsiTheme="majorBidi" w:cstheme="majorBidi"/>
          <w:szCs w:val="24"/>
        </w:rPr>
        <w:t xml:space="preserve"> (</w:t>
      </w:r>
      <w:r w:rsidR="006543AD" w:rsidRPr="006F0D5B">
        <w:rPr>
          <w:lang w:bidi="ar-JO"/>
        </w:rPr>
        <w:t xml:space="preserve">Berman and </w:t>
      </w:r>
      <w:proofErr w:type="spellStart"/>
      <w:r w:rsidR="006543AD" w:rsidRPr="006F0D5B">
        <w:rPr>
          <w:lang w:bidi="ar-JO"/>
        </w:rPr>
        <w:t>Laitin</w:t>
      </w:r>
      <w:proofErr w:type="spellEnd"/>
      <w:r w:rsidR="006543AD" w:rsidRPr="006F0D5B">
        <w:rPr>
          <w:lang w:bidi="ar-JO"/>
        </w:rPr>
        <w:t xml:space="preserve"> 2008, 1950</w:t>
      </w:r>
      <w:r w:rsidR="006543AD">
        <w:rPr>
          <w:lang w:bidi="ar-JO"/>
        </w:rPr>
        <w:t>)</w:t>
      </w:r>
      <w:r w:rsidR="002F777B">
        <w:rPr>
          <w:rFonts w:asciiTheme="majorBidi" w:hAnsiTheme="majorBidi" w:cstheme="majorBidi"/>
          <w:szCs w:val="24"/>
        </w:rPr>
        <w:t>: whether a demand is derived from religion is a purely ideational characteristic</w:t>
      </w:r>
      <w:r w:rsidR="00FE3344">
        <w:rPr>
          <w:rFonts w:asciiTheme="majorBidi" w:hAnsiTheme="majorBidi" w:cstheme="majorBidi"/>
          <w:szCs w:val="24"/>
        </w:rPr>
        <w:t xml:space="preserve"> of the demand itself</w:t>
      </w:r>
      <w:r w:rsidR="002F777B">
        <w:rPr>
          <w:rFonts w:asciiTheme="majorBidi" w:hAnsiTheme="majorBidi" w:cstheme="majorBidi"/>
          <w:szCs w:val="24"/>
        </w:rPr>
        <w:t xml:space="preserve">, while </w:t>
      </w:r>
      <w:r w:rsidR="000F69CA">
        <w:rPr>
          <w:rFonts w:asciiTheme="majorBidi" w:hAnsiTheme="majorBidi" w:cstheme="majorBidi"/>
          <w:szCs w:val="24"/>
        </w:rPr>
        <w:t>membership practices, even just the studying of religious ideas, involve some concrete</w:t>
      </w:r>
      <w:r w:rsidR="00FE3344">
        <w:rPr>
          <w:rFonts w:asciiTheme="majorBidi" w:hAnsiTheme="majorBidi" w:cstheme="majorBidi"/>
          <w:szCs w:val="24"/>
        </w:rPr>
        <w:t>, nonpolitical,</w:t>
      </w:r>
      <w:r w:rsidR="000F69CA">
        <w:rPr>
          <w:rFonts w:asciiTheme="majorBidi" w:hAnsiTheme="majorBidi" w:cstheme="majorBidi"/>
          <w:szCs w:val="24"/>
        </w:rPr>
        <w:t xml:space="preserve"> action performed by the members</w:t>
      </w:r>
      <w:r w:rsidR="00DB5971">
        <w:rPr>
          <w:rFonts w:asciiTheme="majorBidi" w:hAnsiTheme="majorBidi" w:cstheme="majorBidi"/>
          <w:szCs w:val="24"/>
        </w:rPr>
        <w:t xml:space="preserve">. The results show that religion and ideology affect the persistence of the ability of an organization to make demands, regardless of whether that organization chooses violence or </w:t>
      </w:r>
      <w:r w:rsidR="00DB5971">
        <w:rPr>
          <w:rFonts w:asciiTheme="majorBidi" w:hAnsiTheme="majorBidi" w:cstheme="majorBidi"/>
          <w:szCs w:val="24"/>
        </w:rPr>
        <w:lastRenderedPageBreak/>
        <w:t>not.</w:t>
      </w:r>
      <w:r w:rsidR="00897CC9">
        <w:rPr>
          <w:rFonts w:asciiTheme="majorBidi" w:hAnsiTheme="majorBidi" w:cstheme="majorBidi"/>
          <w:szCs w:val="24"/>
        </w:rPr>
        <w:t xml:space="preserve"> </w:t>
      </w:r>
      <w:bookmarkStart w:id="1" w:name="_Hlk113612238"/>
      <w:r w:rsidR="00897CC9">
        <w:rPr>
          <w:rFonts w:asciiTheme="majorBidi" w:hAnsiTheme="majorBidi" w:cstheme="majorBidi"/>
          <w:szCs w:val="24"/>
        </w:rPr>
        <w:t>T</w:t>
      </w:r>
      <w:r w:rsidR="00FF5E82">
        <w:rPr>
          <w:rFonts w:asciiTheme="majorBidi" w:hAnsiTheme="majorBidi" w:cstheme="majorBidi"/>
          <w:szCs w:val="24"/>
        </w:rPr>
        <w:t xml:space="preserve">he results </w:t>
      </w:r>
      <w:r w:rsidR="00897CC9">
        <w:rPr>
          <w:rFonts w:asciiTheme="majorBidi" w:hAnsiTheme="majorBidi" w:cstheme="majorBidi"/>
          <w:szCs w:val="24"/>
        </w:rPr>
        <w:t xml:space="preserve">also </w:t>
      </w:r>
      <w:r w:rsidR="00FF5E82">
        <w:rPr>
          <w:rFonts w:asciiTheme="majorBidi" w:hAnsiTheme="majorBidi" w:cstheme="majorBidi"/>
          <w:szCs w:val="24"/>
        </w:rPr>
        <w:t xml:space="preserve">show that specific signals of commitment, </w:t>
      </w:r>
      <w:r w:rsidR="00897CC9">
        <w:rPr>
          <w:rFonts w:asciiTheme="majorBidi" w:hAnsiTheme="majorBidi" w:cstheme="majorBidi"/>
          <w:szCs w:val="24"/>
        </w:rPr>
        <w:t xml:space="preserve">sometimes </w:t>
      </w:r>
      <w:r w:rsidR="00FF5E82">
        <w:rPr>
          <w:rFonts w:asciiTheme="majorBidi" w:hAnsiTheme="majorBidi" w:cstheme="majorBidi"/>
          <w:szCs w:val="24"/>
        </w:rPr>
        <w:t>associated with religion</w:t>
      </w:r>
      <w:r w:rsidR="00897CC9">
        <w:rPr>
          <w:rFonts w:asciiTheme="majorBidi" w:hAnsiTheme="majorBidi" w:cstheme="majorBidi"/>
          <w:szCs w:val="24"/>
        </w:rPr>
        <w:t xml:space="preserve"> but conceptually different from belief itself</w:t>
      </w:r>
      <w:r w:rsidR="00FF5E82">
        <w:rPr>
          <w:rFonts w:asciiTheme="majorBidi" w:hAnsiTheme="majorBidi" w:cstheme="majorBidi"/>
          <w:szCs w:val="24"/>
        </w:rPr>
        <w:t xml:space="preserve">, </w:t>
      </w:r>
      <w:r w:rsidR="00897CC9">
        <w:rPr>
          <w:rFonts w:asciiTheme="majorBidi" w:hAnsiTheme="majorBidi" w:cstheme="majorBidi"/>
          <w:szCs w:val="24"/>
        </w:rPr>
        <w:t xml:space="preserve">additionally </w:t>
      </w:r>
      <w:r w:rsidR="00FF5E82">
        <w:rPr>
          <w:rFonts w:asciiTheme="majorBidi" w:hAnsiTheme="majorBidi" w:cstheme="majorBidi"/>
          <w:szCs w:val="24"/>
        </w:rPr>
        <w:t>matter for mobilization.</w:t>
      </w:r>
    </w:p>
    <w:bookmarkEnd w:id="1"/>
    <w:p w14:paraId="4E9621B4" w14:textId="18CB7765" w:rsidR="00F2061F" w:rsidRPr="0092351C" w:rsidRDefault="00F2061F" w:rsidP="008B2E4F">
      <w:pPr>
        <w:pStyle w:val="Heading1"/>
        <w:spacing w:before="0" w:line="480" w:lineRule="auto"/>
      </w:pPr>
      <w:r w:rsidRPr="00256048">
        <w:rPr>
          <w:rFonts w:eastAsiaTheme="minorHAnsi"/>
        </w:rPr>
        <w:t>Organizational</w:t>
      </w:r>
      <w:r w:rsidRPr="0092351C">
        <w:t xml:space="preserve"> </w:t>
      </w:r>
      <w:r w:rsidR="0092351C">
        <w:t>P</w:t>
      </w:r>
      <w:r w:rsidRPr="0092351C">
        <w:t xml:space="preserve">ersistence </w:t>
      </w:r>
    </w:p>
    <w:p w14:paraId="1A049B14" w14:textId="65B881E7" w:rsidR="00472B75" w:rsidRDefault="00F2061F" w:rsidP="008B2E4F">
      <w:pPr>
        <w:spacing w:line="480" w:lineRule="auto"/>
        <w:ind w:firstLine="720"/>
      </w:pPr>
      <w:r>
        <w:t xml:space="preserve">Most research of organizational survival or </w:t>
      </w:r>
      <w:r w:rsidR="00EF1644">
        <w:t>persistence</w:t>
      </w:r>
      <w:r>
        <w:t xml:space="preserve"> has centered on violent organizations – either “rebels” or “terroris</w:t>
      </w:r>
      <w:r w:rsidR="00EF1644">
        <w:t>ts</w:t>
      </w:r>
      <w:r>
        <w:t>.”</w:t>
      </w:r>
      <w:r>
        <w:rPr>
          <w:rStyle w:val="FootnoteReference"/>
        </w:rPr>
        <w:footnoteReference w:id="1"/>
      </w:r>
      <w:r w:rsidR="00472B75">
        <w:t xml:space="preserve"> Research on the duration of intrastate conflict has become increasingly precise in identifying actors involved. While some research provided insights through the study of state-level characteristics (</w:t>
      </w:r>
      <w:proofErr w:type="spellStart"/>
      <w:r w:rsidR="00472B75">
        <w:t>Buhaug</w:t>
      </w:r>
      <w:proofErr w:type="spellEnd"/>
      <w:r w:rsidR="00472B75">
        <w:t xml:space="preserve">, Gates, and </w:t>
      </w:r>
      <w:proofErr w:type="spellStart"/>
      <w:r w:rsidR="00472B75">
        <w:t>Lujala</w:t>
      </w:r>
      <w:proofErr w:type="spellEnd"/>
      <w:r w:rsidR="00472B75">
        <w:t xml:space="preserve"> 2009), Cunningham, </w:t>
      </w:r>
      <w:proofErr w:type="spellStart"/>
      <w:r w:rsidR="00472B75">
        <w:t>Gleditsch</w:t>
      </w:r>
      <w:proofErr w:type="spellEnd"/>
      <w:r w:rsidR="00472B75">
        <w:t xml:space="preserve">, and </w:t>
      </w:r>
      <w:proofErr w:type="spellStart"/>
      <w:r w:rsidR="00472B75">
        <w:t>Salehyan</w:t>
      </w:r>
      <w:proofErr w:type="spellEnd"/>
      <w:r w:rsidR="00472B75">
        <w:t xml:space="preserve"> (2009), argued the need to study the particular rebel organizations involved in conflict. This was a key insight as conflict is inherently an interaction between the government and specific rebel organizations, such that civil wars contain “a set of actors that have separate preferences over the outcome of the conflict and separate abilities to block an end to the war” Cunningham (2015, 15). Any rebel organization can be a spoiler; thus, the persistence of war is inherently linked to the persistence of the violent actors in the dispute.</w:t>
      </w:r>
    </w:p>
    <w:p w14:paraId="3F948DD5" w14:textId="1F99030F" w:rsidR="00472B75" w:rsidRDefault="00472B75" w:rsidP="00256048">
      <w:pPr>
        <w:spacing w:line="480" w:lineRule="auto"/>
        <w:ind w:firstLine="720"/>
      </w:pPr>
      <w:r>
        <w:t xml:space="preserve">Alongside this </w:t>
      </w:r>
      <w:r w:rsidR="003E14BA">
        <w:t xml:space="preserve">study of civil war duration </w:t>
      </w:r>
      <w:r>
        <w:t xml:space="preserve">has arisen a body of research </w:t>
      </w:r>
      <w:r w:rsidRPr="00987092">
        <w:t xml:space="preserve">studying </w:t>
      </w:r>
      <w:r>
        <w:t xml:space="preserve">other </w:t>
      </w:r>
      <w:r w:rsidRPr="00987092">
        <w:t>varieties of contention</w:t>
      </w:r>
      <w:r>
        <w:t xml:space="preserve"> over such disputes</w:t>
      </w:r>
      <w:r w:rsidRPr="00987092">
        <w:t>, particularly with the development of the NAVCO dataset (Chenoweth and Lewis 2013). Many studies have brought attention to the choice that non-state actors face in opposing states: violence is merely one tactic out of several tactics available, such as nonviolent resistance</w:t>
      </w:r>
      <w:r>
        <w:t xml:space="preserve"> (Cunningham 2013). A smaller amount of these have analyzed the organization level (</w:t>
      </w:r>
      <w:proofErr w:type="spellStart"/>
      <w:r>
        <w:t>Asal</w:t>
      </w:r>
      <w:proofErr w:type="spellEnd"/>
      <w:r>
        <w:t xml:space="preserve"> et al. 2013; Cunningham, Dahl, and Frugé 2017; Dahl et al. 2020). However, unlike in the civil war literature, very little </w:t>
      </w:r>
      <w:r w:rsidR="00FE3344">
        <w:t xml:space="preserve">is </w:t>
      </w:r>
      <w:r w:rsidR="003E14BA">
        <w:t xml:space="preserve">known about duration in </w:t>
      </w:r>
      <w:r>
        <w:lastRenderedPageBreak/>
        <w:t>nonviolent campaign</w:t>
      </w:r>
      <w:r w:rsidR="003E14BA">
        <w:t>s</w:t>
      </w:r>
      <w:r>
        <w:t xml:space="preserve">, </w:t>
      </w:r>
      <w:r w:rsidR="003F17FC">
        <w:t>an exception be</w:t>
      </w:r>
      <w:r w:rsidR="001B115F">
        <w:t xml:space="preserve">ing </w:t>
      </w:r>
      <w:r>
        <w:t xml:space="preserve">Abbs and </w:t>
      </w:r>
      <w:proofErr w:type="spellStart"/>
      <w:r>
        <w:t>Gled</w:t>
      </w:r>
      <w:r w:rsidR="009A377E">
        <w:t>i</w:t>
      </w:r>
      <w:r>
        <w:t>tsch</w:t>
      </w:r>
      <w:proofErr w:type="spellEnd"/>
      <w:r>
        <w:t xml:space="preserve"> (2021</w:t>
      </w:r>
      <w:r w:rsidR="00256048">
        <w:t>), who</w:t>
      </w:r>
      <w:r w:rsidR="001B115F">
        <w:t xml:space="preserve"> find that</w:t>
      </w:r>
      <w:r w:rsidR="00FE3344">
        <w:t xml:space="preserve"> the outbreak of riots </w:t>
      </w:r>
      <w:r w:rsidR="00053819">
        <w:t>puts an end to</w:t>
      </w:r>
      <w:r w:rsidR="001B115F">
        <w:t xml:space="preserve"> nonviolent campaigns</w:t>
      </w:r>
      <w:r>
        <w:t xml:space="preserve">. </w:t>
      </w:r>
      <w:r w:rsidR="005567C8">
        <w:t xml:space="preserve">Yet, why specific organizations persist in their </w:t>
      </w:r>
      <w:r w:rsidR="00053819">
        <w:t xml:space="preserve">membership and </w:t>
      </w:r>
      <w:r w:rsidR="005567C8">
        <w:t xml:space="preserve">demands </w:t>
      </w:r>
      <w:r w:rsidR="003E14BA">
        <w:t>remains</w:t>
      </w:r>
      <w:r w:rsidR="005567C8">
        <w:t xml:space="preserve"> unknown. Answering </w:t>
      </w:r>
      <w:r w:rsidR="00A21B40">
        <w:t xml:space="preserve">why organizations persist </w:t>
      </w:r>
      <w:r w:rsidR="005567C8">
        <w:t xml:space="preserve">will inform </w:t>
      </w:r>
      <w:r>
        <w:t xml:space="preserve">duration of the possible set of </w:t>
      </w:r>
      <w:r w:rsidR="005567C8">
        <w:t xml:space="preserve">contentious </w:t>
      </w:r>
      <w:r>
        <w:t xml:space="preserve">actors </w:t>
      </w:r>
      <w:r w:rsidR="005567C8">
        <w:t xml:space="preserve">and </w:t>
      </w:r>
      <w:r>
        <w:t>the choice to engage in violence among that subset of these actors who make that choice.</w:t>
      </w:r>
    </w:p>
    <w:p w14:paraId="4111EB30" w14:textId="7E1C979D" w:rsidR="00472B75" w:rsidRDefault="00472B75" w:rsidP="00F20572">
      <w:pPr>
        <w:spacing w:line="480" w:lineRule="auto"/>
      </w:pPr>
      <w:r>
        <w:tab/>
      </w:r>
      <w:r w:rsidR="00F20572">
        <w:t>This</w:t>
      </w:r>
      <w:r w:rsidR="00B97FDF">
        <w:t xml:space="preserve"> need to study potential, not just actual, violent actors</w:t>
      </w:r>
      <w:r w:rsidR="00F20572">
        <w:t>,</w:t>
      </w:r>
      <w:r w:rsidR="00B97FDF">
        <w:t xml:space="preserve"> </w:t>
      </w:r>
      <w:r w:rsidR="00F20572">
        <w:t xml:space="preserve">is indicated </w:t>
      </w:r>
      <w:r w:rsidR="00B97FDF">
        <w:t xml:space="preserve">by a body of research on </w:t>
      </w:r>
      <w:r w:rsidR="00F20572">
        <w:t xml:space="preserve">the actors which precede </w:t>
      </w:r>
      <w:r w:rsidR="00B97FDF">
        <w:t xml:space="preserve">intrastate conflict. </w:t>
      </w:r>
      <w:r w:rsidR="00844330">
        <w:t xml:space="preserve">For example, </w:t>
      </w:r>
      <w:proofErr w:type="spellStart"/>
      <w:r w:rsidR="00844330">
        <w:t>Breslawski</w:t>
      </w:r>
      <w:proofErr w:type="spellEnd"/>
      <w:r w:rsidR="00844330">
        <w:t xml:space="preserve"> and Ives (2018) study how organizations making self-determination demands choose to engage in violence. </w:t>
      </w:r>
      <w:r>
        <w:t xml:space="preserve">White et al. (2015) </w:t>
      </w:r>
      <w:r w:rsidR="00844330">
        <w:t xml:space="preserve">argue </w:t>
      </w:r>
      <w:r>
        <w:t xml:space="preserve">that </w:t>
      </w:r>
      <w:r w:rsidR="00B97FDF">
        <w:t>intrastate conflict is predicated on the pre-</w:t>
      </w:r>
      <w:r>
        <w:t xml:space="preserve"> existence of demands </w:t>
      </w:r>
      <w:r w:rsidR="00B97FDF">
        <w:t xml:space="preserve">against the state. </w:t>
      </w:r>
      <w:r w:rsidR="00844330">
        <w:t xml:space="preserve">These works suggest that intrastate conflict is preceded by organizations and demands. If this is so, it implies a need to explain why organizations and demands vary so much in their persistence and, therefore, in their ability to create the underlying conditions for further contentious action. </w:t>
      </w:r>
    </w:p>
    <w:p w14:paraId="0CB7B2B2" w14:textId="0E6A9E32" w:rsidR="00472B75" w:rsidRDefault="0028156A" w:rsidP="00897CC9">
      <w:pPr>
        <w:spacing w:line="480" w:lineRule="auto"/>
        <w:ind w:firstLine="720"/>
      </w:pPr>
      <w:r>
        <w:t xml:space="preserve">I answer </w:t>
      </w:r>
      <w:r w:rsidR="00844330">
        <w:t xml:space="preserve">why some organizations persist in their membership and demands while others disappear quickly by </w:t>
      </w:r>
      <w:r>
        <w:t xml:space="preserve">studying </w:t>
      </w:r>
      <w:r w:rsidR="00844330">
        <w:t xml:space="preserve">how </w:t>
      </w:r>
      <w:r>
        <w:t xml:space="preserve">religion </w:t>
      </w:r>
      <w:r w:rsidR="00E5595C">
        <w:t xml:space="preserve">affects the cohesion of </w:t>
      </w:r>
      <w:r w:rsidR="00DF6198">
        <w:t xml:space="preserve">membership in </w:t>
      </w:r>
      <w:r w:rsidR="00E5595C">
        <w:t xml:space="preserve">political organizations. </w:t>
      </w:r>
      <w:r w:rsidR="00DF6198">
        <w:t>Religious demands not only increase the intensity of violence in conflicts (</w:t>
      </w:r>
      <w:proofErr w:type="spellStart"/>
      <w:r w:rsidR="00DF6198">
        <w:t>Svensson</w:t>
      </w:r>
      <w:proofErr w:type="spellEnd"/>
      <w:r w:rsidR="00DF6198">
        <w:t xml:space="preserve"> and Nilsson 2018; Toft 2021) but also mobilize individuals who are less willing to compromise. Thus, organizations with religious demands are less willing to accept concessions because of the distinct characteristics of their memberships, increasing conflict duration (Keels and Wiegand 2020). </w:t>
      </w:r>
      <w:r w:rsidR="007F49F5">
        <w:t xml:space="preserve">Since religious demands recruit a membership less willing to compromise and, therefore, may prolong war, the membership of an organization pursuing religious demands may similarly persist in demand making, regardless of the presence of conflict. </w:t>
      </w:r>
      <w:r w:rsidR="008D1494">
        <w:t xml:space="preserve">Yet, it is important to test this directly. </w:t>
      </w:r>
      <w:r w:rsidR="00472B75">
        <w:t xml:space="preserve">As long </w:t>
      </w:r>
      <w:r w:rsidR="00625099">
        <w:t xml:space="preserve">as </w:t>
      </w:r>
      <w:r w:rsidR="00472B75">
        <w:t>religio</w:t>
      </w:r>
      <w:r w:rsidR="008D1494">
        <w:t xml:space="preserve">us demands are only studied in the violent </w:t>
      </w:r>
      <w:r w:rsidR="00256048">
        <w:lastRenderedPageBreak/>
        <w:t>context, it</w:t>
      </w:r>
      <w:r w:rsidR="008D1494">
        <w:t xml:space="preserve"> is not possible to separate religious </w:t>
      </w:r>
      <w:r w:rsidR="00625099">
        <w:t>demands</w:t>
      </w:r>
      <w:r w:rsidR="008D1494">
        <w:t xml:space="preserve"> in general from religious </w:t>
      </w:r>
      <w:r w:rsidR="00625099">
        <w:t xml:space="preserve">demands </w:t>
      </w:r>
      <w:r w:rsidR="008D1494">
        <w:t xml:space="preserve">that may develop in the runup to conflict itself. The factors that created the </w:t>
      </w:r>
      <w:r w:rsidR="00472B75">
        <w:t xml:space="preserve">violent situation </w:t>
      </w:r>
      <w:r w:rsidR="008D1494">
        <w:t xml:space="preserve">could also have </w:t>
      </w:r>
      <w:r w:rsidR="00472B75">
        <w:t xml:space="preserve">created the religious claims (Maoz and Henderson 2020, 375, 381). </w:t>
      </w:r>
      <w:r w:rsidR="008D1494">
        <w:t xml:space="preserve">This means that the study of religious claims on the persistence of demands, encompassing both violent and nonviolent conditions, </w:t>
      </w:r>
      <w:r w:rsidR="00434C10">
        <w:t xml:space="preserve">is distinct from the study of religious claims only within </w:t>
      </w:r>
      <w:r w:rsidR="00897CC9">
        <w:t xml:space="preserve">existing </w:t>
      </w:r>
      <w:r w:rsidR="00434C10">
        <w:t xml:space="preserve">violence; we lack knowledge on </w:t>
      </w:r>
      <w:r w:rsidR="00472B75">
        <w:t>religion in organizations that make demands of the government but do not choose to go to war</w:t>
      </w:r>
      <w:r w:rsidR="00491EA5">
        <w:t>.</w:t>
      </w:r>
    </w:p>
    <w:p w14:paraId="6E170C60" w14:textId="34BD3019" w:rsidR="00DB4544" w:rsidRDefault="00625099" w:rsidP="00754663">
      <w:pPr>
        <w:spacing w:line="480" w:lineRule="auto"/>
        <w:ind w:firstLine="720"/>
      </w:pPr>
      <w:r>
        <w:t>I study self-determination organizations to study an appropriate set of demand-making organizations which are not limited to intrastate conflict or any other particular tactic</w:t>
      </w:r>
      <w:r w:rsidR="00094F2A">
        <w:t>, permitting the study of the effect of religion on the persistence of organizations themselves and their political demands, rather than the persistence or intensity of violence.</w:t>
      </w:r>
      <w:r w:rsidR="00DB4544">
        <w:t xml:space="preserve"> I use the set of self-determination organizations from Cunningham (2014)</w:t>
      </w:r>
      <w:r>
        <w:t>.</w:t>
      </w:r>
      <w:r w:rsidRPr="00625099">
        <w:t xml:space="preserve"> </w:t>
      </w:r>
      <w:r w:rsidR="00754663">
        <w:t xml:space="preserve">As in the case of the </w:t>
      </w:r>
      <w:r w:rsidR="005F6AEC">
        <w:t>Afar</w:t>
      </w:r>
      <w:r w:rsidR="00754663">
        <w:t xml:space="preserve"> above, they vary greatly in their religious affiliations and persistence, and are </w:t>
      </w:r>
      <w:r w:rsidR="00DB4544">
        <w:t>selected based on their participation in self-determination disputes, not any particular tactic</w:t>
      </w:r>
      <w:r w:rsidR="00754663">
        <w:t xml:space="preserve">, making them a good sample on which to study the question. Despite this, the </w:t>
      </w:r>
      <w:r w:rsidR="00DB4544">
        <w:t>organizations often do use violence, as well as nonviolent tactics (Cunningham, Dahl, and Frugé 2017), making them a substantively interesting category for the study of both civil war and nonviolent contention.</w:t>
      </w:r>
      <w:r w:rsidR="00754663">
        <w:t xml:space="preserve"> </w:t>
      </w:r>
    </w:p>
    <w:p w14:paraId="28FFB29A" w14:textId="5032A32A" w:rsidR="002A1665" w:rsidRDefault="00472B75" w:rsidP="00A41945">
      <w:pPr>
        <w:spacing w:line="480" w:lineRule="auto"/>
        <w:ind w:firstLine="720"/>
      </w:pPr>
      <w:r>
        <w:t xml:space="preserve">The question of organizational persistence in self-determination movements thus makes an important contribution to the study of civil war persistence, even though it does not itself ask about violent activity. Answering this question adds to the longstanding need to know more about rebel organizations, not just civil wars at the conflict or country level (Cunningham, </w:t>
      </w:r>
      <w:proofErr w:type="spellStart"/>
      <w:r>
        <w:t>Gleditsch</w:t>
      </w:r>
      <w:proofErr w:type="spellEnd"/>
      <w:r>
        <w:t xml:space="preserve">, and </w:t>
      </w:r>
      <w:proofErr w:type="spellStart"/>
      <w:r>
        <w:t>Salehyan</w:t>
      </w:r>
      <w:proofErr w:type="spellEnd"/>
      <w:r>
        <w:t xml:space="preserve"> 2009) and the need to understand civil war as just one tactical choice out of several by which an organization may pursue a demand against the government </w:t>
      </w:r>
      <w:r>
        <w:lastRenderedPageBreak/>
        <w:t xml:space="preserve">(Cunningham 2013). </w:t>
      </w:r>
      <w:r w:rsidR="008B6A7E">
        <w:t xml:space="preserve">The individuals mobilized by </w:t>
      </w:r>
      <w:r>
        <w:t>religio</w:t>
      </w:r>
      <w:r w:rsidR="008B6A7E">
        <w:t xml:space="preserve">us demands can cause civil war to persist longer due to their uncompromising stances </w:t>
      </w:r>
      <w:r>
        <w:t>(Keels and Wiegand 2020)</w:t>
      </w:r>
      <w:r w:rsidR="008B6A7E">
        <w:t xml:space="preserve">, but religious demands after war </w:t>
      </w:r>
      <w:proofErr w:type="gramStart"/>
      <w:r w:rsidR="008B6A7E">
        <w:t>has</w:t>
      </w:r>
      <w:proofErr w:type="gramEnd"/>
      <w:r w:rsidR="008B6A7E">
        <w:t xml:space="preserve"> begun are not necessarily the same as those existing before the war (Maoz and Henderson 2020, 375, 381). Therefore, </w:t>
      </w:r>
      <w:r>
        <w:t>the impact of religio</w:t>
      </w:r>
      <w:r w:rsidR="008B6A7E">
        <w:t xml:space="preserve">us cohesion on the persistence of membership and demands in a set of </w:t>
      </w:r>
      <w:r>
        <w:t xml:space="preserve">the organizations which could have gone to war but may or may not have chosen to do so is a </w:t>
      </w:r>
      <w:r w:rsidR="008B6A7E">
        <w:t xml:space="preserve">highly relevant </w:t>
      </w:r>
      <w:r>
        <w:t>question</w:t>
      </w:r>
      <w:r w:rsidR="008B6A7E">
        <w:t xml:space="preserve"> to the study of </w:t>
      </w:r>
      <w:r w:rsidR="007E15FA">
        <w:t xml:space="preserve">intrastate </w:t>
      </w:r>
      <w:r w:rsidR="008B6A7E">
        <w:t>conflict and contentious action</w:t>
      </w:r>
      <w:r>
        <w:t>.</w:t>
      </w:r>
      <w:r w:rsidR="007E15FA">
        <w:t xml:space="preserve"> </w:t>
      </w:r>
      <w:bookmarkStart w:id="2" w:name="_Hlk106985782"/>
      <w:r w:rsidR="000659DA">
        <w:t xml:space="preserve">This article furthers the study of civil war duration, first, by measuring an understudied factor which underlies it, the persistence of organizations which may or may not rebel, </w:t>
      </w:r>
      <w:proofErr w:type="gramStart"/>
      <w:r w:rsidR="000659DA">
        <w:t>and,</w:t>
      </w:r>
      <w:proofErr w:type="gramEnd"/>
      <w:r w:rsidR="000659DA">
        <w:t xml:space="preserve"> second, by examining the influence of religion, on the organizational cohesion of these organizations over time</w:t>
      </w:r>
      <w:r w:rsidR="00A41945">
        <w:t xml:space="preserve"> without limiting religion to belie</w:t>
      </w:r>
      <w:r w:rsidR="0093738D">
        <w:t>fs</w:t>
      </w:r>
      <w:r w:rsidR="00A41945">
        <w:t xml:space="preserve"> </w:t>
      </w:r>
      <w:r w:rsidR="0093738D">
        <w:t xml:space="preserve">held </w:t>
      </w:r>
      <w:r w:rsidR="00A41945">
        <w:t>after the outbreak of violence.</w:t>
      </w:r>
    </w:p>
    <w:p w14:paraId="58FC9155" w14:textId="7500C323" w:rsidR="004733D2" w:rsidRPr="004733D2" w:rsidRDefault="004733D2" w:rsidP="004733D2">
      <w:pPr>
        <w:pStyle w:val="Heading1"/>
        <w:spacing w:before="0" w:line="480" w:lineRule="auto"/>
      </w:pPr>
      <w:r w:rsidRPr="006F0D5B">
        <w:t>Theory</w:t>
      </w:r>
    </w:p>
    <w:p w14:paraId="6C606163" w14:textId="7B8B3AF7" w:rsidR="004733D2" w:rsidRDefault="004733D2" w:rsidP="00EB764E">
      <w:pPr>
        <w:spacing w:line="480" w:lineRule="auto"/>
        <w:ind w:firstLine="720"/>
      </w:pPr>
      <w:r>
        <w:rPr>
          <w:lang w:bidi="ar-JO"/>
        </w:rPr>
        <w:t>I make several assumptions about the nature of political activity and mobilization</w:t>
      </w:r>
      <w:r w:rsidR="00D30398">
        <w:rPr>
          <w:lang w:bidi="ar-JO"/>
        </w:rPr>
        <w:t xml:space="preserve"> in order to hypothesize the relationship between religion and organizational duration</w:t>
      </w:r>
      <w:r>
        <w:rPr>
          <w:lang w:bidi="ar-JO"/>
        </w:rPr>
        <w:t>. First, e</w:t>
      </w:r>
      <w:r w:rsidRPr="006F0D5B">
        <w:rPr>
          <w:lang w:bidi="ar-JO"/>
        </w:rPr>
        <w:t>ach organization has a leadership, which claims to represent a set of constituents</w:t>
      </w:r>
      <w:r>
        <w:rPr>
          <w:lang w:bidi="ar-JO"/>
        </w:rPr>
        <w:t xml:space="preserve"> and</w:t>
      </w:r>
      <w:r w:rsidRPr="006F0D5B">
        <w:rPr>
          <w:lang w:bidi="ar-JO"/>
        </w:rPr>
        <w:t xml:space="preserve"> demands concessions from the government </w:t>
      </w:r>
      <w:r>
        <w:rPr>
          <w:lang w:bidi="ar-JO"/>
        </w:rPr>
        <w:t>regarding autonomy or independence</w:t>
      </w:r>
      <w:r w:rsidRPr="006F0D5B">
        <w:rPr>
          <w:lang w:bidi="ar-JO"/>
        </w:rPr>
        <w:t xml:space="preserve">. </w:t>
      </w:r>
      <w:r w:rsidR="00D30398">
        <w:rPr>
          <w:lang w:bidi="ar-JO"/>
        </w:rPr>
        <w:t xml:space="preserve">Second, </w:t>
      </w:r>
      <w:r>
        <w:rPr>
          <w:lang w:bidi="ar-JO"/>
        </w:rPr>
        <w:t>each organization attempts to impose costs on the government in order to make the government prefer a concession to the status quo</w:t>
      </w:r>
      <w:r w:rsidR="00D30398">
        <w:rPr>
          <w:lang w:bidi="ar-JO"/>
        </w:rPr>
        <w:t>.</w:t>
      </w:r>
      <w:r>
        <w:rPr>
          <w:lang w:bidi="ar-JO"/>
        </w:rPr>
        <w:t xml:space="preserve"> </w:t>
      </w:r>
      <w:r w:rsidR="00D30398">
        <w:rPr>
          <w:lang w:bidi="ar-JO"/>
        </w:rPr>
        <w:t xml:space="preserve">Third, </w:t>
      </w:r>
      <w:r w:rsidRPr="006F0D5B">
        <w:rPr>
          <w:lang w:bidi="ar-JO"/>
        </w:rPr>
        <w:t xml:space="preserve">the leadership needs </w:t>
      </w:r>
      <w:r>
        <w:rPr>
          <w:lang w:bidi="ar-JO"/>
        </w:rPr>
        <w:t xml:space="preserve">some group of </w:t>
      </w:r>
      <w:r w:rsidRPr="006F0D5B">
        <w:rPr>
          <w:lang w:bidi="ar-JO"/>
        </w:rPr>
        <w:t>constituents to active</w:t>
      </w:r>
      <w:r>
        <w:rPr>
          <w:lang w:bidi="ar-JO"/>
        </w:rPr>
        <w:t xml:space="preserve">ly </w:t>
      </w:r>
      <w:r w:rsidRPr="006F0D5B">
        <w:rPr>
          <w:lang w:bidi="ar-JO"/>
        </w:rPr>
        <w:t>participa</w:t>
      </w:r>
      <w:r>
        <w:rPr>
          <w:lang w:bidi="ar-JO"/>
        </w:rPr>
        <w:t xml:space="preserve">te to </w:t>
      </w:r>
      <w:r w:rsidRPr="006F0D5B">
        <w:rPr>
          <w:lang w:bidi="ar-JO"/>
        </w:rPr>
        <w:t xml:space="preserve">impose </w:t>
      </w:r>
      <w:r>
        <w:rPr>
          <w:lang w:bidi="ar-JO"/>
        </w:rPr>
        <w:t xml:space="preserve">these </w:t>
      </w:r>
      <w:r w:rsidRPr="006F0D5B">
        <w:rPr>
          <w:lang w:bidi="ar-JO"/>
        </w:rPr>
        <w:t>costs on the government</w:t>
      </w:r>
      <w:r>
        <w:rPr>
          <w:lang w:bidi="ar-JO"/>
        </w:rPr>
        <w:t>.</w:t>
      </w:r>
      <w:r w:rsidRPr="006F0D5B">
        <w:rPr>
          <w:lang w:bidi="ar-JO"/>
        </w:rPr>
        <w:t xml:space="preserve"> </w:t>
      </w:r>
      <w:r>
        <w:rPr>
          <w:lang w:bidi="ar-JO"/>
        </w:rPr>
        <w:t xml:space="preserve">Other resources, particularly money, may be useful, even necessary, but remain insufficient without people to use them. This is true whether the tactics are violent, nonviolent, or even conventionally imposed through legal electoral </w:t>
      </w:r>
      <w:r>
        <w:rPr>
          <w:lang w:bidi="ar-JO"/>
        </w:rPr>
        <w:lastRenderedPageBreak/>
        <w:t xml:space="preserve">activity. So, </w:t>
      </w:r>
      <w:r w:rsidR="00EB764E">
        <w:rPr>
          <w:lang w:bidi="ar-JO"/>
        </w:rPr>
        <w:t xml:space="preserve">any </w:t>
      </w:r>
      <w:r>
        <w:rPr>
          <w:lang w:bidi="ar-JO"/>
        </w:rPr>
        <w:t>organization requires participants to</w:t>
      </w:r>
      <w:r w:rsidR="00EB764E">
        <w:rPr>
          <w:lang w:bidi="ar-JO"/>
        </w:rPr>
        <w:t xml:space="preserve"> </w:t>
      </w:r>
      <w:r w:rsidR="00D30398">
        <w:rPr>
          <w:lang w:bidi="ar-JO"/>
        </w:rPr>
        <w:t xml:space="preserve">persist in pursuit of its </w:t>
      </w:r>
      <w:r w:rsidR="00EB764E">
        <w:rPr>
          <w:lang w:bidi="ar-JO"/>
        </w:rPr>
        <w:t>demands</w:t>
      </w:r>
      <w:r w:rsidRPr="006F0D5B">
        <w:rPr>
          <w:lang w:bidi="ar-JO"/>
        </w:rPr>
        <w:t xml:space="preserve">. </w:t>
      </w:r>
      <w:r w:rsidR="00EB764E">
        <w:rPr>
          <w:rStyle w:val="FootnoteReference"/>
          <w:lang w:bidi="ar-JO"/>
        </w:rPr>
        <w:footnoteReference w:id="2"/>
      </w:r>
      <w:r w:rsidR="00EB764E">
        <w:t xml:space="preserve"> </w:t>
      </w:r>
      <w:r w:rsidR="00D30398">
        <w:t>T</w:t>
      </w:r>
      <w:r w:rsidR="00EB764E">
        <w:t xml:space="preserve">o </w:t>
      </w:r>
      <w:r w:rsidR="00D30398">
        <w:t>do this</w:t>
      </w:r>
      <w:r w:rsidR="00EB764E">
        <w:t xml:space="preserve">, </w:t>
      </w:r>
      <w:r>
        <w:t xml:space="preserve">an organization </w:t>
      </w:r>
      <w:r w:rsidR="00EB764E">
        <w:t xml:space="preserve">needs to maintain greater </w:t>
      </w:r>
      <w:r>
        <w:t xml:space="preserve">expected benefits </w:t>
      </w:r>
      <w:r w:rsidR="00EB764E">
        <w:t xml:space="preserve">than </w:t>
      </w:r>
      <w:r>
        <w:t xml:space="preserve">expected costs </w:t>
      </w:r>
      <w:r w:rsidR="005413BF">
        <w:t xml:space="preserve">for participants </w:t>
      </w:r>
      <w:r w:rsidR="00EB764E">
        <w:t>in activities against the government</w:t>
      </w:r>
      <w:r w:rsidR="00334B56">
        <w:t xml:space="preserve"> (</w:t>
      </w:r>
      <w:r w:rsidR="00E060E0">
        <w:t xml:space="preserve">Weinstein 2007, 7-8; </w:t>
      </w:r>
      <w:r w:rsidR="00334B56">
        <w:t xml:space="preserve">Gates and </w:t>
      </w:r>
      <w:proofErr w:type="spellStart"/>
      <w:r w:rsidR="00334B56">
        <w:t>Nordås</w:t>
      </w:r>
      <w:proofErr w:type="spellEnd"/>
      <w:r w:rsidR="00334B56">
        <w:t xml:space="preserve"> 2010, 7)</w:t>
      </w:r>
      <w:r>
        <w:t>.</w:t>
      </w:r>
    </w:p>
    <w:p w14:paraId="4885084D" w14:textId="618E1300" w:rsidR="004733D2" w:rsidRDefault="00575FE1" w:rsidP="00C25FFA">
      <w:pPr>
        <w:spacing w:line="480" w:lineRule="auto"/>
        <w:ind w:firstLine="720"/>
      </w:pPr>
      <w:r>
        <w:t>I argue that a</w:t>
      </w:r>
      <w:r w:rsidR="004733D2">
        <w:t xml:space="preserve">n organization whose goals are </w:t>
      </w:r>
      <w:r w:rsidR="00D648E9">
        <w:t>religiously motivated</w:t>
      </w:r>
      <w:r w:rsidR="004733D2">
        <w:t xml:space="preserve"> can increase the expected value of participation among those who share the same beliefs</w:t>
      </w:r>
      <w:r>
        <w:t xml:space="preserve"> because of the potential to generate rewards based on those beliefs (Gates and </w:t>
      </w:r>
      <w:proofErr w:type="spellStart"/>
      <w:r>
        <w:t>Nordås</w:t>
      </w:r>
      <w:proofErr w:type="spellEnd"/>
      <w:r>
        <w:t xml:space="preserve"> 2010, 3; Walter 2017, 9</w:t>
      </w:r>
      <w:r w:rsidR="003D74FB">
        <w:t>, 20</w:t>
      </w:r>
      <w:r>
        <w:t>)</w:t>
      </w:r>
      <w:r w:rsidR="004733D2">
        <w:t>. Religion</w:t>
      </w:r>
      <w:r w:rsidR="00C25FFA">
        <w:t xml:space="preserve"> can provide a </w:t>
      </w:r>
      <w:r w:rsidR="004733D2">
        <w:t>shared, systemic understanding of daily emotions, establishing a relation between the people experiencing the emotion and other people whose are supposedly at fault (</w:t>
      </w:r>
      <w:proofErr w:type="spellStart"/>
      <w:r w:rsidR="004733D2">
        <w:t>Costalli</w:t>
      </w:r>
      <w:proofErr w:type="spellEnd"/>
      <w:r w:rsidR="004733D2">
        <w:t xml:space="preserve"> and Ruggeri 2015, 127-8). </w:t>
      </w:r>
      <w:r w:rsidR="004733D2" w:rsidRPr="006F0D5B">
        <w:t xml:space="preserve">When </w:t>
      </w:r>
      <w:r w:rsidR="00C25FFA">
        <w:t xml:space="preserve">this understanding derives from </w:t>
      </w:r>
      <w:r w:rsidR="004733D2" w:rsidRPr="006F0D5B">
        <w:t>“an exogenous principle (ideology, ideal, doctrine, deity)” which is often “interpreted, administered, maintained, or even personified” by the organization’s leadership, recruits receive utility</w:t>
      </w:r>
      <w:r w:rsidR="00904E78">
        <w:t>, “functional rewards”,</w:t>
      </w:r>
      <w:r w:rsidR="004733D2" w:rsidRPr="006F0D5B">
        <w:t xml:space="preserve"> from participating in the just cause of the organization (</w:t>
      </w:r>
      <w:bookmarkStart w:id="3" w:name="_Hlk112877872"/>
      <w:r w:rsidR="004733D2" w:rsidRPr="006F0D5B">
        <w:t xml:space="preserve">Gates and </w:t>
      </w:r>
      <w:proofErr w:type="spellStart"/>
      <w:r w:rsidR="004733D2" w:rsidRPr="006F0D5B">
        <w:t>Nordås</w:t>
      </w:r>
      <w:proofErr w:type="spellEnd"/>
      <w:r w:rsidR="004733D2" w:rsidRPr="006F0D5B">
        <w:t xml:space="preserve"> 2010, 9</w:t>
      </w:r>
      <w:r w:rsidR="00904E78">
        <w:t>, 28</w:t>
      </w:r>
      <w:bookmarkEnd w:id="3"/>
      <w:r w:rsidR="004733D2" w:rsidRPr="006F0D5B">
        <w:t>)</w:t>
      </w:r>
      <w:r w:rsidR="004733D2">
        <w:t xml:space="preserve">, regardless of the eventual outcome of the participation. </w:t>
      </w:r>
      <w:r w:rsidR="004733D2" w:rsidRPr="006F0D5B">
        <w:t>This increases the value of participati</w:t>
      </w:r>
      <w:r w:rsidR="00C25FFA">
        <w:t>on</w:t>
      </w:r>
      <w:r w:rsidR="004733D2" w:rsidRPr="006F0D5B">
        <w:t xml:space="preserve"> at low cost to the organization (</w:t>
      </w:r>
      <w:bookmarkStart w:id="4" w:name="_Hlk112877865"/>
      <w:r w:rsidR="004733D2" w:rsidRPr="006F0D5B">
        <w:t>Walter 2017</w:t>
      </w:r>
      <w:r w:rsidR="00E603D7">
        <w:t>, 20</w:t>
      </w:r>
      <w:bookmarkEnd w:id="4"/>
      <w:r w:rsidR="004733D2" w:rsidRPr="006F0D5B">
        <w:t>)</w:t>
      </w:r>
      <w:r w:rsidR="00C25FFA">
        <w:t xml:space="preserve">. </w:t>
      </w:r>
      <w:r w:rsidR="00904E78">
        <w:t>Since functional rewards can be generated indefinitely</w:t>
      </w:r>
      <w:r w:rsidR="00C25FFA">
        <w:t>, religion can facilitate</w:t>
      </w:r>
      <w:r w:rsidR="004733D2">
        <w:t xml:space="preserve"> </w:t>
      </w:r>
      <w:r w:rsidR="00C25FFA">
        <w:t xml:space="preserve">the </w:t>
      </w:r>
      <w:r w:rsidR="004733D2">
        <w:t xml:space="preserve">recruitment </w:t>
      </w:r>
      <w:r w:rsidR="00C25FFA">
        <w:t xml:space="preserve">and retention of devotees over time </w:t>
      </w:r>
      <w:r w:rsidR="004733D2">
        <w:t xml:space="preserve">and, ultimately, </w:t>
      </w:r>
      <w:r w:rsidR="00C25FFA">
        <w:t xml:space="preserve">the </w:t>
      </w:r>
      <w:r w:rsidR="004733D2">
        <w:t>persisten</w:t>
      </w:r>
      <w:r w:rsidR="00C25FFA">
        <w:t xml:space="preserve">ce of the organization and its </w:t>
      </w:r>
      <w:r w:rsidR="004733D2">
        <w:t>demands.</w:t>
      </w:r>
    </w:p>
    <w:p w14:paraId="329C5D32" w14:textId="5FA53C01" w:rsidR="004733D2" w:rsidRPr="006F0D5B" w:rsidRDefault="00AE4C9F" w:rsidP="004733D2">
      <w:pPr>
        <w:spacing w:line="480" w:lineRule="auto"/>
        <w:ind w:firstLine="720"/>
      </w:pPr>
      <w:r>
        <w:t>Yet, r</w:t>
      </w:r>
      <w:r w:rsidR="004733D2">
        <w:t xml:space="preserve">eligion may also impose costs on potential recruits. </w:t>
      </w:r>
      <w:r w:rsidR="00707B07">
        <w:t>O</w:t>
      </w:r>
      <w:r w:rsidR="004733D2" w:rsidRPr="006F0D5B">
        <w:t xml:space="preserve">nly a particular subset of the population may sufficiently accept the </w:t>
      </w:r>
      <w:r w:rsidR="004733D2">
        <w:t xml:space="preserve">religious beliefs </w:t>
      </w:r>
      <w:r w:rsidR="004733D2" w:rsidRPr="006F0D5B">
        <w:t xml:space="preserve">of the organization to </w:t>
      </w:r>
      <w:r w:rsidR="004733D2">
        <w:t>receive functional rewards from participation</w:t>
      </w:r>
      <w:r w:rsidR="00426F5D">
        <w:t xml:space="preserve">; other parts of the population may have somewhat different religious preferences (Walter 2017, 17-8). Such individuals may be somewhat discouraged from </w:t>
      </w:r>
      <w:r w:rsidR="0070032A">
        <w:lastRenderedPageBreak/>
        <w:t>supporting</w:t>
      </w:r>
      <w:r w:rsidR="00426F5D">
        <w:t xml:space="preserve"> the organization</w:t>
      </w:r>
      <w:r w:rsidR="0070032A">
        <w:t xml:space="preserve"> (</w:t>
      </w:r>
      <w:proofErr w:type="spellStart"/>
      <w:r w:rsidR="0070032A">
        <w:t>Szekely</w:t>
      </w:r>
      <w:proofErr w:type="spellEnd"/>
      <w:r w:rsidR="0070032A">
        <w:t xml:space="preserve"> 2014, 282)</w:t>
      </w:r>
      <w:r w:rsidR="00426F5D">
        <w:rPr>
          <w:rStyle w:val="FootnoteReference"/>
        </w:rPr>
        <w:footnoteReference w:id="3"/>
      </w:r>
      <w:r w:rsidR="004733D2">
        <w:t xml:space="preserve">. Assuming that </w:t>
      </w:r>
      <w:r w:rsidR="004733D2" w:rsidRPr="006F0D5B">
        <w:t xml:space="preserve">constituents naturally vary in their propensity to accept the </w:t>
      </w:r>
      <w:r w:rsidR="004733D2">
        <w:t>beliefs</w:t>
      </w:r>
      <w:r w:rsidR="004733D2" w:rsidRPr="006F0D5B">
        <w:t xml:space="preserve"> of the organization</w:t>
      </w:r>
      <w:r w:rsidR="004733D2">
        <w:t>,</w:t>
      </w:r>
      <w:r w:rsidR="004733D2" w:rsidRPr="006F0D5B">
        <w:t xml:space="preserve"> </w:t>
      </w:r>
      <w:r w:rsidR="004733D2">
        <w:t xml:space="preserve">functional rewards mainly facilitate participation among </w:t>
      </w:r>
      <w:r w:rsidR="004733D2" w:rsidRPr="006F0D5B">
        <w:t>a particular subset of the constituency.</w:t>
      </w:r>
      <w:r w:rsidR="004733D2">
        <w:t xml:space="preserve"> So, if this were the only mechanism for religious organizations to increase mobilization, the ultimate impact on an organization’s persistent ability to pursue demands against the government would be limited.</w:t>
      </w:r>
    </w:p>
    <w:p w14:paraId="33B01E3B" w14:textId="34181F93" w:rsidR="004733D2" w:rsidRPr="006F0D5B" w:rsidRDefault="00BC7313" w:rsidP="004733D2">
      <w:pPr>
        <w:spacing w:line="480" w:lineRule="auto"/>
        <w:ind w:firstLine="720"/>
      </w:pPr>
      <w:r>
        <w:t xml:space="preserve">There is, however, another way for religious organizations to facilitate mobilization and ability to persist in demand-making, though marketing and using religion as a commitment signal. </w:t>
      </w:r>
      <w:r w:rsidR="004733D2" w:rsidRPr="006F0D5B">
        <w:t xml:space="preserve">Beyond those constituents inclined to fully accept the </w:t>
      </w:r>
      <w:r w:rsidR="004733D2">
        <w:t>beliefs</w:t>
      </w:r>
      <w:r w:rsidR="004733D2" w:rsidRPr="006F0D5B">
        <w:t xml:space="preserve"> of the organization, other constituents </w:t>
      </w:r>
      <w:r>
        <w:t xml:space="preserve">may not </w:t>
      </w:r>
      <w:r w:rsidR="004733D2" w:rsidRPr="006F0D5B">
        <w:t xml:space="preserve">accept </w:t>
      </w:r>
      <w:r w:rsidR="004733D2">
        <w:t xml:space="preserve">those beliefs </w:t>
      </w:r>
      <w:r>
        <w:t xml:space="preserve">or do so </w:t>
      </w:r>
      <w:r w:rsidR="004733D2" w:rsidRPr="006F0D5B">
        <w:t>only weakly</w:t>
      </w:r>
      <w:r w:rsidR="00867774">
        <w:t xml:space="preserve">. </w:t>
      </w:r>
      <w:r>
        <w:t>B</w:t>
      </w:r>
      <w:r w:rsidR="004733D2" w:rsidRPr="006F0D5B">
        <w:t xml:space="preserve">eing constituents of the </w:t>
      </w:r>
      <w:r>
        <w:t xml:space="preserve">self-determination </w:t>
      </w:r>
      <w:r w:rsidR="004733D2" w:rsidRPr="006F0D5B">
        <w:t xml:space="preserve">movement, may still care about the shared goals of the movement. So, they could be convinced to participate in </w:t>
      </w:r>
      <w:r w:rsidR="004733D2">
        <w:t xml:space="preserve">the </w:t>
      </w:r>
      <w:r w:rsidR="004733D2" w:rsidRPr="006F0D5B">
        <w:t>tactics of the organization</w:t>
      </w:r>
      <w:r w:rsidR="004733D2">
        <w:t xml:space="preserve">, </w:t>
      </w:r>
      <w:r w:rsidR="004733D2" w:rsidRPr="006F0D5B">
        <w:t>provided they believe the organization to be capable of success and sincere</w:t>
      </w:r>
      <w:r>
        <w:t xml:space="preserve"> in its ability to </w:t>
      </w:r>
      <w:r w:rsidR="004733D2" w:rsidRPr="006F0D5B">
        <w:t>successfully put costs on the government</w:t>
      </w:r>
      <w:r>
        <w:t>,</w:t>
      </w:r>
      <w:r w:rsidR="004733D2" w:rsidRPr="006F0D5B">
        <w:t xml:space="preserve"> fulfill their promises, reject unfavorable </w:t>
      </w:r>
      <w:r>
        <w:t>bargains</w:t>
      </w:r>
      <w:r w:rsidR="004733D2" w:rsidRPr="006F0D5B">
        <w:t xml:space="preserve">, and </w:t>
      </w:r>
      <w:r>
        <w:t xml:space="preserve">avoid pecuniary </w:t>
      </w:r>
      <w:r w:rsidR="004733D2" w:rsidRPr="006F0D5B">
        <w:t xml:space="preserve">monetary gain or power for its own sake. </w:t>
      </w:r>
      <w:r>
        <w:t xml:space="preserve">This may be </w:t>
      </w:r>
      <w:r w:rsidR="004733D2" w:rsidRPr="006F0D5B">
        <w:t>particularly true in violent conflicts (Walter 2017, 17), but even in a solely nonviolent movement, constituents should still prefer organizations which intend to fulfill the shared goals of the movement to those who organizations whose leaders primarily care about power-seeking and graft.</w:t>
      </w:r>
    </w:p>
    <w:p w14:paraId="068499D3" w14:textId="69778AB7" w:rsidR="004733D2" w:rsidRPr="006F0D5B" w:rsidRDefault="00BC7313" w:rsidP="004733D2">
      <w:pPr>
        <w:spacing w:line="480" w:lineRule="auto"/>
        <w:ind w:firstLine="720"/>
      </w:pPr>
      <w:r>
        <w:t>Religious organizations may be such organizations because t</w:t>
      </w:r>
      <w:r w:rsidR="004733D2" w:rsidRPr="006F0D5B">
        <w:t xml:space="preserve">hose unaffiliated constituents who do not fully accept the </w:t>
      </w:r>
      <w:r w:rsidR="004733D2">
        <w:t xml:space="preserve">beliefs </w:t>
      </w:r>
      <w:r w:rsidR="004733D2" w:rsidRPr="006F0D5B">
        <w:t xml:space="preserve">of the organization receive information from the recruitment of those constituents who do. When an organization recruits highly committed constituents and carries out tactics with them, this signals to unaffiliated constituents that the organization has at least a minimal capability to mobilize. When organizations demonstrate that </w:t>
      </w:r>
      <w:r w:rsidR="004733D2" w:rsidRPr="006F0D5B">
        <w:lastRenderedPageBreak/>
        <w:t xml:space="preserve">they have highly committed participants, unaffiliated constituents are more likely to perceive that they are capable and sincere (Walter 2017, 11-2, 30). </w:t>
      </w:r>
    </w:p>
    <w:p w14:paraId="280DE5B5" w14:textId="0ECAF271" w:rsidR="004733D2" w:rsidRDefault="004733D2" w:rsidP="004733D2">
      <w:pPr>
        <w:spacing w:line="480" w:lineRule="auto"/>
        <w:ind w:firstLine="720"/>
      </w:pPr>
      <w:r w:rsidRPr="006F0D5B">
        <w:t xml:space="preserve">The ability to recruit for particular tactics beyond those willing to directly accept the </w:t>
      </w:r>
      <w:r>
        <w:t>beliefs</w:t>
      </w:r>
      <w:r w:rsidRPr="006F0D5B">
        <w:t xml:space="preserve"> of the organization is possible through marketing. Organizations can frame themselves as benefiting a constituency wider than their core. This is possible by demonstrating their performance and gaining attention by mobilizing their core supporters. With enough attention, the organization can position itself as the obvious choice for the broader constituents to support (</w:t>
      </w:r>
      <w:proofErr w:type="spellStart"/>
      <w:r w:rsidRPr="006F0D5B">
        <w:t>Szekely</w:t>
      </w:r>
      <w:proofErr w:type="spellEnd"/>
      <w:r w:rsidRPr="006F0D5B">
        <w:t xml:space="preserve"> 201</w:t>
      </w:r>
      <w:r>
        <w:t>1</w:t>
      </w:r>
      <w:r w:rsidRPr="006F0D5B">
        <w:t xml:space="preserve">, </w:t>
      </w:r>
      <w:r w:rsidR="00A631FB">
        <w:t>28-</w:t>
      </w:r>
      <w:r w:rsidRPr="006F0D5B">
        <w:t>35). Thus, the mechanisms normalizing costly participation and prohibition facilitate recruitment only among a subset of the constituency, but when marketed, an organization can use its core recruits to recruit a broader set of constituents for contentious tactics.</w:t>
      </w:r>
    </w:p>
    <w:p w14:paraId="3832111E" w14:textId="2DB1FDFB" w:rsidR="004733D2" w:rsidRDefault="004733D2" w:rsidP="004733D2">
      <w:pPr>
        <w:spacing w:line="480" w:lineRule="auto"/>
        <w:ind w:firstLine="720"/>
      </w:pPr>
      <w:r>
        <w:t xml:space="preserve">This marketing is available to organizations whose demands are made in the context of religion. These beliefs permit the generation of functional rewards to a subset of committed believers. The increased ability to mobilize this set of constituents suggests commitment and capability to other constituents. When this commitment and capability are marketed to the broader group of constituents, the organization can signal that participation in its activities has a greater expected value than those of an organization whose demands are not based in such beliefs. </w:t>
      </w:r>
      <w:r w:rsidRPr="006F0D5B">
        <w:t xml:space="preserve">Therefore, </w:t>
      </w:r>
      <w:r>
        <w:t>religious organizations should be better able to mobilize constituents, increasing those organizations’ ability to persist in making demands against the government.</w:t>
      </w:r>
    </w:p>
    <w:p w14:paraId="663302D8" w14:textId="19ACA8D2" w:rsidR="006543AD" w:rsidRPr="006F0D5B" w:rsidRDefault="00AE598F" w:rsidP="00256048">
      <w:pPr>
        <w:spacing w:line="480" w:lineRule="auto"/>
      </w:pPr>
      <w:r>
        <w:t xml:space="preserve">In addition to religion itself, functional rewards and marketing can also be derived </w:t>
      </w:r>
      <w:r w:rsidR="00071F34">
        <w:t>from</w:t>
      </w:r>
      <w:r>
        <w:t xml:space="preserve"> religion-like ideologies. </w:t>
      </w:r>
      <w:r w:rsidR="008D60DB">
        <w:t xml:space="preserve">Theology can serve as a </w:t>
      </w:r>
      <w:r w:rsidR="00E13C0C">
        <w:t xml:space="preserve">common </w:t>
      </w:r>
      <w:r w:rsidR="008D60DB">
        <w:t xml:space="preserve">“programmatic orientation,” </w:t>
      </w:r>
      <w:r w:rsidR="00E13C0C">
        <w:t xml:space="preserve">which </w:t>
      </w:r>
      <w:r w:rsidR="008D60DB">
        <w:t>but it is not the only possible theme (</w:t>
      </w:r>
      <w:proofErr w:type="spellStart"/>
      <w:r w:rsidR="008D60DB">
        <w:t>Schubiger</w:t>
      </w:r>
      <w:proofErr w:type="spellEnd"/>
      <w:r w:rsidR="008D60DB">
        <w:t xml:space="preserve"> and </w:t>
      </w:r>
      <w:proofErr w:type="spellStart"/>
      <w:r w:rsidR="008D60DB">
        <w:t>Zelina</w:t>
      </w:r>
      <w:proofErr w:type="spellEnd"/>
      <w:r w:rsidR="008D60DB">
        <w:t xml:space="preserve"> 2017, 948) which can arrange political ideas into a set (</w:t>
      </w:r>
      <w:proofErr w:type="spellStart"/>
      <w:r w:rsidR="008D60DB">
        <w:t>Ugarriza</w:t>
      </w:r>
      <w:proofErr w:type="spellEnd"/>
      <w:r w:rsidR="008D60DB">
        <w:t xml:space="preserve"> and Craig 2012, 450; Gutiérrez-</w:t>
      </w:r>
      <w:proofErr w:type="spellStart"/>
      <w:r w:rsidR="008D60DB">
        <w:t>Sanín</w:t>
      </w:r>
      <w:proofErr w:type="spellEnd"/>
      <w:r w:rsidR="008D60DB">
        <w:t xml:space="preserve"> and Wood 2014, 215). </w:t>
      </w:r>
      <w:r w:rsidR="006543AD">
        <w:t xml:space="preserve">An ideology can be </w:t>
      </w:r>
      <w:r w:rsidR="006543AD">
        <w:lastRenderedPageBreak/>
        <w:t>a “way of understanding the world”, using “doctrines, narratives, symbols, and myths” to outline “relations between members of a group and outsiders, and among members” of the group (</w:t>
      </w:r>
      <w:proofErr w:type="spellStart"/>
      <w:r w:rsidR="006543AD">
        <w:t>Ugarriza</w:t>
      </w:r>
      <w:proofErr w:type="spellEnd"/>
      <w:r w:rsidR="006543AD">
        <w:t xml:space="preserve"> and Craig 2012, 450)</w:t>
      </w:r>
      <w:r w:rsidR="008D60DB">
        <w:t xml:space="preserve"> and </w:t>
      </w:r>
      <w:r w:rsidR="006543AD">
        <w:t xml:space="preserve">can relate </w:t>
      </w:r>
      <w:r w:rsidR="008D60DB">
        <w:t xml:space="preserve">them to </w:t>
      </w:r>
      <w:r w:rsidR="006543AD">
        <w:t>a political grievance, define goals to rectify these grievances (</w:t>
      </w:r>
      <w:proofErr w:type="spellStart"/>
      <w:r w:rsidR="006543AD">
        <w:t>Costalli</w:t>
      </w:r>
      <w:proofErr w:type="spellEnd"/>
      <w:r w:rsidR="006543AD">
        <w:t xml:space="preserve"> and Ruggeri 2015, 127; Gutiérrez-</w:t>
      </w:r>
      <w:proofErr w:type="spellStart"/>
      <w:r w:rsidR="006543AD">
        <w:t>Sanín</w:t>
      </w:r>
      <w:proofErr w:type="spellEnd"/>
      <w:r w:rsidR="006543AD">
        <w:t xml:space="preserve"> and Wood 2014, 215; Ahmadov and Hughes 2017, 3), and define, to some extent, action to reach these goals (Gutiérrez-</w:t>
      </w:r>
      <w:proofErr w:type="spellStart"/>
      <w:r w:rsidR="006543AD">
        <w:t>Sanín</w:t>
      </w:r>
      <w:proofErr w:type="spellEnd"/>
      <w:r w:rsidR="006543AD">
        <w:t xml:space="preserve"> and Wood 2014, 215; </w:t>
      </w:r>
      <w:proofErr w:type="spellStart"/>
      <w:r w:rsidR="006543AD">
        <w:t>Ugarriza</w:t>
      </w:r>
      <w:proofErr w:type="spellEnd"/>
      <w:r w:rsidR="006543AD">
        <w:t xml:space="preserve"> and Craig 2012, 451). </w:t>
      </w:r>
      <w:r w:rsidR="006543AD">
        <w:rPr>
          <w:lang w:bidi="ar-JO"/>
        </w:rPr>
        <w:t xml:space="preserve">Therefore, there can be ideologies which function similarly to religion, though they are not religious: </w:t>
      </w:r>
      <w:r w:rsidR="006543AD">
        <w:t>f</w:t>
      </w:r>
      <w:r w:rsidR="006543AD" w:rsidRPr="006F0D5B">
        <w:t xml:space="preserve">or example, certain socialist organizations which ascribe to their leadership a vanguard role </w:t>
      </w:r>
      <w:r w:rsidR="006543AD">
        <w:t xml:space="preserve">can </w:t>
      </w:r>
      <w:r w:rsidR="006543AD" w:rsidRPr="006F0D5B">
        <w:t xml:space="preserve">feature strong internal discipline </w:t>
      </w:r>
      <w:r w:rsidR="008D60DB">
        <w:t xml:space="preserve">based on belief in socialist ideology </w:t>
      </w:r>
      <w:r w:rsidR="006543AD" w:rsidRPr="006F0D5B">
        <w:t>(</w:t>
      </w:r>
      <w:proofErr w:type="spellStart"/>
      <w:r w:rsidR="006543AD" w:rsidRPr="006F0D5B">
        <w:t>Kalyvas</w:t>
      </w:r>
      <w:proofErr w:type="spellEnd"/>
      <w:r w:rsidR="006543AD" w:rsidRPr="006F0D5B">
        <w:t xml:space="preserve"> and </w:t>
      </w:r>
      <w:proofErr w:type="spellStart"/>
      <w:r w:rsidR="006543AD" w:rsidRPr="006F0D5B">
        <w:t>Balcells</w:t>
      </w:r>
      <w:proofErr w:type="spellEnd"/>
      <w:r w:rsidR="006543AD" w:rsidRPr="006F0D5B">
        <w:t xml:space="preserve"> 2010, 421) </w:t>
      </w:r>
      <w:r w:rsidR="006543AD">
        <w:t xml:space="preserve">similar </w:t>
      </w:r>
      <w:r w:rsidR="006543AD" w:rsidRPr="006F0D5B">
        <w:t>to religious moral authority</w:t>
      </w:r>
      <w:r w:rsidR="008D60DB">
        <w:t xml:space="preserve"> among religious organizations</w:t>
      </w:r>
      <w:r w:rsidR="007B66D6">
        <w:t xml:space="preserve">. Marxist organizations like Peru’s Shining Path (Sendero Luminoso) (Gutierrez </w:t>
      </w:r>
      <w:proofErr w:type="spellStart"/>
      <w:r w:rsidR="007B66D6">
        <w:t>Sanín</w:t>
      </w:r>
      <w:proofErr w:type="spellEnd"/>
      <w:r w:rsidR="007B66D6">
        <w:t xml:space="preserve"> and Wood 2014, 218, 221) or the Communist Party of Bangladesh provide striking examples. </w:t>
      </w:r>
      <w:r w:rsidR="006543AD">
        <w:t xml:space="preserve">Thus, I refer to </w:t>
      </w:r>
      <w:r>
        <w:t xml:space="preserve">such ideologies as </w:t>
      </w:r>
      <w:r w:rsidR="006543AD">
        <w:t xml:space="preserve">religion-like ideologies </w:t>
      </w:r>
      <w:r>
        <w:t xml:space="preserve">and consider them similar to </w:t>
      </w:r>
      <w:r w:rsidR="006543AD">
        <w:t>religion</w:t>
      </w:r>
      <w:r>
        <w:t xml:space="preserve"> for purposes of this </w:t>
      </w:r>
      <w:r w:rsidR="00071F34">
        <w:t>research</w:t>
      </w:r>
      <w:r w:rsidR="006543AD">
        <w:t>.</w:t>
      </w:r>
    </w:p>
    <w:p w14:paraId="73C786DC" w14:textId="77777777" w:rsidR="004733D2" w:rsidRDefault="004733D2" w:rsidP="004733D2">
      <w:pPr>
        <w:spacing w:line="480" w:lineRule="auto"/>
        <w:rPr>
          <w:i/>
          <w:iCs/>
        </w:rPr>
      </w:pPr>
      <w:r w:rsidRPr="006F0D5B">
        <w:rPr>
          <w:i/>
          <w:iCs/>
        </w:rPr>
        <w:t xml:space="preserve">Hypothesis 1: </w:t>
      </w:r>
      <w:r>
        <w:rPr>
          <w:i/>
          <w:iCs/>
        </w:rPr>
        <w:t>Religious o</w:t>
      </w:r>
      <w:r w:rsidRPr="006F0D5B">
        <w:rPr>
          <w:i/>
          <w:iCs/>
        </w:rPr>
        <w:t xml:space="preserve">rganizations </w:t>
      </w:r>
      <w:r>
        <w:rPr>
          <w:i/>
          <w:iCs/>
        </w:rPr>
        <w:t xml:space="preserve">(and those with similar </w:t>
      </w:r>
      <w:r w:rsidRPr="006F0D5B">
        <w:rPr>
          <w:i/>
          <w:iCs/>
        </w:rPr>
        <w:t>ideologies</w:t>
      </w:r>
      <w:r>
        <w:rPr>
          <w:i/>
          <w:iCs/>
        </w:rPr>
        <w:t>)</w:t>
      </w:r>
      <w:r w:rsidRPr="006F0D5B">
        <w:rPr>
          <w:i/>
          <w:iCs/>
        </w:rPr>
        <w:t xml:space="preserve"> </w:t>
      </w:r>
      <w:r>
        <w:rPr>
          <w:i/>
          <w:iCs/>
        </w:rPr>
        <w:t>can persist in making political demands for longer than organizations which lack such beliefs.</w:t>
      </w:r>
    </w:p>
    <w:p w14:paraId="488D9364" w14:textId="77777777" w:rsidR="004733D2" w:rsidRPr="000D7317" w:rsidRDefault="004733D2" w:rsidP="004733D2">
      <w:pPr>
        <w:spacing w:line="480" w:lineRule="auto"/>
        <w:ind w:firstLine="720"/>
        <w:rPr>
          <w:i/>
          <w:iCs/>
        </w:rPr>
      </w:pPr>
      <w:r>
        <w:t xml:space="preserve">Religious organizations can generate functional rewards among dedicated believers and signal commitment and capability to a broader set of constituents; they can increase this signal further the greater the visible commitment among the existing members. Thus, religious </w:t>
      </w:r>
      <w:r w:rsidRPr="006F0D5B">
        <w:t xml:space="preserve">organizations </w:t>
      </w:r>
      <w:r>
        <w:t xml:space="preserve">may </w:t>
      </w:r>
      <w:r w:rsidRPr="006F0D5B">
        <w:t xml:space="preserve">enjoy a recruitment and retention advantage because </w:t>
      </w:r>
      <w:r>
        <w:t xml:space="preserve">they can </w:t>
      </w:r>
      <w:r w:rsidRPr="006F0D5B">
        <w:t xml:space="preserve">normalize costly participation in the organization’s activity among its members. Participation in costly, time-consuming activities, such as religious study and charitable work, signals the members’ willingness to commit to the organization, which deters free riders and assures members that other members will contribute to the organization (Berman 2000, 905-6; </w:t>
      </w:r>
      <w:proofErr w:type="spellStart"/>
      <w:r w:rsidRPr="006F0D5B">
        <w:t>Iannaccone</w:t>
      </w:r>
      <w:proofErr w:type="spellEnd"/>
      <w:r w:rsidRPr="006F0D5B">
        <w:t xml:space="preserve"> and Berman </w:t>
      </w:r>
      <w:r w:rsidRPr="006F0D5B">
        <w:lastRenderedPageBreak/>
        <w:t xml:space="preserve">2006, 116; Berman and </w:t>
      </w:r>
      <w:proofErr w:type="spellStart"/>
      <w:r w:rsidRPr="006F0D5B">
        <w:t>Laitin</w:t>
      </w:r>
      <w:proofErr w:type="spellEnd"/>
      <w:r w:rsidRPr="006F0D5B">
        <w:t xml:space="preserve"> 2008, 1943; Berman 2009, 22). Together, by enduring time-consuming activities, members create confidence in each other that they will not defect from the organization. This is visible to </w:t>
      </w:r>
      <w:r>
        <w:t xml:space="preserve">a substantial number of </w:t>
      </w:r>
      <w:r w:rsidRPr="006F0D5B">
        <w:t xml:space="preserve">members, and so, generates the expectation that everyone will participate: this expectation creates incentives for all members to remain loyal to the organization (McLauchlin 2010, 333, 338-9). This </w:t>
      </w:r>
      <w:r>
        <w:t xml:space="preserve">creates a belief among </w:t>
      </w:r>
      <w:r w:rsidRPr="006F0D5B">
        <w:t>potential recruits that they will not be alone if they participate in the organization’s tactics.</w:t>
      </w:r>
    </w:p>
    <w:p w14:paraId="7A5C4BB3" w14:textId="77777777" w:rsidR="004733D2" w:rsidRDefault="004733D2" w:rsidP="004733D2">
      <w:pPr>
        <w:spacing w:line="480" w:lineRule="auto"/>
        <w:ind w:firstLine="720"/>
      </w:pPr>
      <w:r w:rsidRPr="006F0D5B">
        <w:t>Because the members of the organization are committed to each other, they have an advantage at “cooperative production” (</w:t>
      </w:r>
      <w:proofErr w:type="spellStart"/>
      <w:r w:rsidRPr="006F0D5B">
        <w:t>Iannaccone</w:t>
      </w:r>
      <w:proofErr w:type="spellEnd"/>
      <w:r w:rsidRPr="006F0D5B">
        <w:t xml:space="preserve"> and Berman 2006, 125). Such organizations can provide club goods, particularly, mutual social aid (Berman 2000, 908; Berman and </w:t>
      </w:r>
      <w:proofErr w:type="spellStart"/>
      <w:r w:rsidRPr="006F0D5B">
        <w:t>Laitin</w:t>
      </w:r>
      <w:proofErr w:type="spellEnd"/>
      <w:r w:rsidRPr="006F0D5B">
        <w:t xml:space="preserve"> 2008, 1942; Berman 2009, 21). This advantage at cooperative production increases the advantage of joining to potential recruits, and since they may find the club goods useful, reduces their </w:t>
      </w:r>
      <w:r>
        <w:t>incentive</w:t>
      </w:r>
      <w:r w:rsidRPr="006F0D5B">
        <w:t xml:space="preserve"> to desert</w:t>
      </w:r>
      <w:r>
        <w:t xml:space="preserve"> leading to higher retention</w:t>
      </w:r>
      <w:r w:rsidRPr="006F0D5B">
        <w:t xml:space="preserve"> (McLauchlin 2014, 1437).</w:t>
      </w:r>
    </w:p>
    <w:p w14:paraId="41D11334" w14:textId="77777777" w:rsidR="004733D2" w:rsidRDefault="004733D2" w:rsidP="004733D2">
      <w:pPr>
        <w:spacing w:line="480" w:lineRule="auto"/>
        <w:ind w:firstLine="720"/>
      </w:pPr>
      <w:r>
        <w:t>Religious o</w:t>
      </w:r>
      <w:r w:rsidRPr="006F0D5B">
        <w:t xml:space="preserve">rganizations may enjoy a further retention advantage when </w:t>
      </w:r>
      <w:r>
        <w:t xml:space="preserve">their beliefs </w:t>
      </w:r>
      <w:r w:rsidRPr="006F0D5B">
        <w:t>normalize costly prohibitions of particular social or economic activities outside the organization. Observing each other obeying prohibitions further strengthens the confidence members have in each other’s commitment to the organization (</w:t>
      </w:r>
      <w:proofErr w:type="spellStart"/>
      <w:r w:rsidRPr="006F0D5B">
        <w:t>Iannaccone</w:t>
      </w:r>
      <w:proofErr w:type="spellEnd"/>
      <w:r w:rsidRPr="006F0D5B">
        <w:t xml:space="preserve"> and Berman 2006, 116, 125). Additionally, costly prohibitions on outside activities make</w:t>
      </w:r>
      <w:r>
        <w:t xml:space="preserve"> engaging in</w:t>
      </w:r>
      <w:r w:rsidRPr="006F0D5B">
        <w:t xml:space="preserve"> activity outside the organization harder. This increases the value of participating in the organization, particularly the value of the social aid and other club goods provided by the organization, because members have difficulty obtaining similar goods and social aid outside the organization (Berman 2000, 908; </w:t>
      </w:r>
      <w:proofErr w:type="spellStart"/>
      <w:r w:rsidRPr="006F0D5B">
        <w:t>Iannaccone</w:t>
      </w:r>
      <w:proofErr w:type="spellEnd"/>
      <w:r w:rsidRPr="006F0D5B">
        <w:t xml:space="preserve"> and Berman 2006, 116; Berman and </w:t>
      </w:r>
      <w:proofErr w:type="spellStart"/>
      <w:r w:rsidRPr="006F0D5B">
        <w:t>Laitin</w:t>
      </w:r>
      <w:proofErr w:type="spellEnd"/>
      <w:r w:rsidRPr="006F0D5B">
        <w:t xml:space="preserve"> 2008, 1943, 1951). Hence, the normalization of costly prohibitions makes it even less likely that members have the opportunity </w:t>
      </w:r>
      <w:r w:rsidRPr="006F0D5B">
        <w:lastRenderedPageBreak/>
        <w:t>to desert the organization, either to another organization, to the government, or to inactivity, further ensuring retention of participants in the organization.</w:t>
      </w:r>
    </w:p>
    <w:p w14:paraId="0CDA916D" w14:textId="77777777" w:rsidR="004733D2" w:rsidRDefault="004733D2" w:rsidP="004733D2">
      <w:pPr>
        <w:spacing w:line="480" w:lineRule="auto"/>
        <w:ind w:firstLine="720"/>
      </w:pPr>
      <w:r w:rsidRPr="006F0D5B">
        <w:t>Norms of costly participation and prohibition strengthen the credibility of organization leaders, as well. By following the prohibitions and enduring the required sacrifices of participation, the organization’s leaders demonstrate their commitment to the rank-and-file (</w:t>
      </w:r>
      <w:proofErr w:type="spellStart"/>
      <w:r w:rsidRPr="006F0D5B">
        <w:t>Iannaccone</w:t>
      </w:r>
      <w:proofErr w:type="spellEnd"/>
      <w:r w:rsidRPr="006F0D5B">
        <w:t xml:space="preserve"> and Berman 2006, 125). This demonstrates that the that they are not primarily engaged in politics for graft or power for its own sake. Moreover, such leaders, being dedicated to their political goals, are less likely to be bought off by the government through deals which serve them personally but harm the constituents they claim to represent (Walter 2017, 23-5). This further increases the expected value of participation in both the short and long-run, further facilitating recruitment and retention.</w:t>
      </w:r>
    </w:p>
    <w:p w14:paraId="3809CCC7" w14:textId="6552BD7F" w:rsidR="004733D2" w:rsidRDefault="004733D2" w:rsidP="004733D2">
      <w:pPr>
        <w:spacing w:line="480" w:lineRule="auto"/>
        <w:ind w:firstLine="720"/>
      </w:pPr>
      <w:r w:rsidRPr="006F0D5B">
        <w:t>The normalization of costly participation in the organization and costly prohibition of activity outside the organization ties people so closely to the club goods, particularly social aid, provided by the organization and its leadership, that members perceive a social benefit from furthering the cause of the organization for its own sake.</w:t>
      </w:r>
      <w:r>
        <w:t xml:space="preserve"> This further increases the marketing effect as well, as the members of the organization are visibly committed to each other and, thus, can be seen as more capable and sincere. Therefore, visible norms of costly participation and prohibition, even though they impose costs on participants, should increase the expected benefit of participation in an organization’s activities. This means that religious organizations which visibly adhere to these norms should enjoy an advantage in mobilization and retention and, thus, be more able to continue to pursue demands against the government.</w:t>
      </w:r>
    </w:p>
    <w:p w14:paraId="323CB024" w14:textId="37F68900" w:rsidR="006543AD" w:rsidRDefault="00F20FF7" w:rsidP="00F41EA0">
      <w:pPr>
        <w:spacing w:line="480" w:lineRule="auto"/>
        <w:ind w:firstLine="720"/>
        <w:rPr>
          <w:i/>
          <w:iCs/>
        </w:rPr>
      </w:pPr>
      <w:r>
        <w:t>As with Hypothesis 1, membership practices may derive from religion-like ideology as well as from religion itself. C</w:t>
      </w:r>
      <w:r w:rsidR="006543AD" w:rsidRPr="006F0D5B">
        <w:t xml:space="preserve">ostly participation and prohibition often draw on the moral </w:t>
      </w:r>
      <w:r w:rsidR="006543AD" w:rsidRPr="006F0D5B">
        <w:lastRenderedPageBreak/>
        <w:t>authority of religion</w:t>
      </w:r>
      <w:r w:rsidR="006543AD" w:rsidRPr="00901CD4">
        <w:t xml:space="preserve"> </w:t>
      </w:r>
      <w:r w:rsidR="006543AD">
        <w:t>(</w:t>
      </w:r>
      <w:r w:rsidR="006543AD" w:rsidRPr="00901CD4">
        <w:t>Berman 2009</w:t>
      </w:r>
      <w:r w:rsidR="006543AD">
        <w:t>)</w:t>
      </w:r>
      <w:r>
        <w:t xml:space="preserve">, and </w:t>
      </w:r>
      <w:r w:rsidR="006543AD" w:rsidRPr="006F0D5B">
        <w:t>small, strict sects like the Haredi Jews</w:t>
      </w:r>
      <w:r>
        <w:t xml:space="preserve"> often exhibit particularly strong and visible membership practices. Still,</w:t>
      </w:r>
      <w:r w:rsidR="006543AD" w:rsidRPr="006F0D5B">
        <w:t xml:space="preserve"> more widespread religions </w:t>
      </w:r>
      <w:r>
        <w:t xml:space="preserve">exhibit them to an extent, and membership practices do not </w:t>
      </w:r>
      <w:r w:rsidR="006543AD">
        <w:t xml:space="preserve">necessarily </w:t>
      </w:r>
      <w:r w:rsidR="006543AD" w:rsidRPr="006F0D5B">
        <w:t>require a theological basis (</w:t>
      </w:r>
      <w:proofErr w:type="spellStart"/>
      <w:r w:rsidR="006543AD" w:rsidRPr="006F0D5B">
        <w:t>Iannaccone</w:t>
      </w:r>
      <w:proofErr w:type="spellEnd"/>
      <w:r w:rsidR="006543AD" w:rsidRPr="006F0D5B">
        <w:t xml:space="preserve"> and Berman 2006, </w:t>
      </w:r>
      <w:r w:rsidR="006543AD" w:rsidRPr="006F0D5B">
        <w:rPr>
          <w:lang w:bidi="ar-JO"/>
        </w:rPr>
        <w:t>117).</w:t>
      </w:r>
      <w:r>
        <w:rPr>
          <w:lang w:bidi="ar-JO"/>
        </w:rPr>
        <w:t xml:space="preserve"> Therefore, I </w:t>
      </w:r>
      <w:r w:rsidR="00F41EA0">
        <w:rPr>
          <w:lang w:bidi="ar-JO"/>
        </w:rPr>
        <w:t>again refer to religion-like ideologies that have provide a systemic basis for thought upon which membership practices can be based in addition to religion itself.</w:t>
      </w:r>
    </w:p>
    <w:p w14:paraId="6B01C163" w14:textId="77777777" w:rsidR="004733D2" w:rsidRDefault="004733D2" w:rsidP="008B2E4F">
      <w:pPr>
        <w:spacing w:line="480" w:lineRule="auto"/>
      </w:pPr>
      <w:r w:rsidRPr="006F0D5B">
        <w:rPr>
          <w:i/>
          <w:iCs/>
        </w:rPr>
        <w:t xml:space="preserve">Hypothesis </w:t>
      </w:r>
      <w:r>
        <w:rPr>
          <w:i/>
          <w:iCs/>
        </w:rPr>
        <w:t>2</w:t>
      </w:r>
      <w:r w:rsidRPr="006F0D5B">
        <w:rPr>
          <w:i/>
          <w:iCs/>
        </w:rPr>
        <w:t xml:space="preserve">: </w:t>
      </w:r>
      <w:r>
        <w:rPr>
          <w:i/>
          <w:iCs/>
        </w:rPr>
        <w:t>Religious o</w:t>
      </w:r>
      <w:r w:rsidRPr="006F0D5B">
        <w:rPr>
          <w:i/>
          <w:iCs/>
        </w:rPr>
        <w:t xml:space="preserve">rganizations </w:t>
      </w:r>
      <w:r>
        <w:rPr>
          <w:i/>
          <w:iCs/>
        </w:rPr>
        <w:t xml:space="preserve">(and those with similar </w:t>
      </w:r>
      <w:r w:rsidRPr="006F0D5B">
        <w:rPr>
          <w:i/>
          <w:iCs/>
        </w:rPr>
        <w:t>ideologies</w:t>
      </w:r>
      <w:r>
        <w:rPr>
          <w:i/>
          <w:iCs/>
        </w:rPr>
        <w:t>)</w:t>
      </w:r>
      <w:r w:rsidRPr="006F0D5B">
        <w:rPr>
          <w:i/>
          <w:iCs/>
        </w:rPr>
        <w:t xml:space="preserve"> </w:t>
      </w:r>
      <w:r>
        <w:rPr>
          <w:i/>
          <w:iCs/>
        </w:rPr>
        <w:t>which encourage norms of costly participation or prohibition can persist in making political demands for longer than organizations which lack such norms.</w:t>
      </w:r>
    </w:p>
    <w:bookmarkEnd w:id="2"/>
    <w:p w14:paraId="07BBB5E6" w14:textId="311C6FC3" w:rsidR="001F1E9A" w:rsidRPr="00D87DB0" w:rsidRDefault="001F1E9A" w:rsidP="008B2E4F">
      <w:pPr>
        <w:pStyle w:val="Heading1"/>
        <w:spacing w:before="0" w:line="480" w:lineRule="auto"/>
      </w:pPr>
      <w:r w:rsidRPr="005D2585">
        <w:t>Research Design</w:t>
      </w:r>
    </w:p>
    <w:p w14:paraId="473DF4A6" w14:textId="0135C327" w:rsidR="001F1E9A" w:rsidRDefault="001F1E9A" w:rsidP="00C91840">
      <w:pPr>
        <w:spacing w:line="480" w:lineRule="auto"/>
        <w:ind w:firstLine="720"/>
      </w:pPr>
      <w:r>
        <w:t xml:space="preserve">I </w:t>
      </w:r>
      <w:r w:rsidR="00822337">
        <w:t xml:space="preserve">test these hypotheses with a novel </w:t>
      </w:r>
      <w:r>
        <w:t xml:space="preserve">data set. The ideal set of cases </w:t>
      </w:r>
      <w:r w:rsidR="00691E19">
        <w:t>is a set of political movements</w:t>
      </w:r>
      <w:r w:rsidR="00EA38CB">
        <w:t xml:space="preserve"> which are making costly demands upon the government</w:t>
      </w:r>
      <w:r w:rsidR="00691E19">
        <w:t xml:space="preserve">. </w:t>
      </w:r>
      <w:r w:rsidR="00EA38CB">
        <w:t xml:space="preserve">Demands for autonomy or independence impose high costs upon a government because they limit a state’s sovereignty in part or in full. However, these hypotheses do </w:t>
      </w:r>
      <w:r w:rsidR="00691E19">
        <w:t>not depend on the use of a particular tactic</w:t>
      </w:r>
      <w:r w:rsidR="00EA38CB">
        <w:t>, such as insurgency or terrorism,</w:t>
      </w:r>
      <w:r w:rsidR="00691E19">
        <w:t xml:space="preserve"> but</w:t>
      </w:r>
      <w:r>
        <w:t xml:space="preserve"> nearly all such lists of dissident organizations are generated by the tactics chosen; for example, organizations engaging in civil war </w:t>
      </w:r>
      <w:r w:rsidRPr="00426CA8">
        <w:t>(</w:t>
      </w:r>
      <w:r>
        <w:t>Sundberg and Melander 2013</w:t>
      </w:r>
      <w:r w:rsidRPr="00426CA8">
        <w:t xml:space="preserve">) or terrorism (START 2018; </w:t>
      </w:r>
      <w:proofErr w:type="spellStart"/>
      <w:r w:rsidRPr="00426CA8">
        <w:t>Heger</w:t>
      </w:r>
      <w:proofErr w:type="spellEnd"/>
      <w:r w:rsidRPr="00426CA8">
        <w:t xml:space="preserve"> and Jung 2017).</w:t>
      </w:r>
      <w:r>
        <w:t xml:space="preserve"> </w:t>
      </w:r>
      <w:r w:rsidR="00EA38CB">
        <w:t xml:space="preserve">To avoid this </w:t>
      </w:r>
      <w:r w:rsidR="001D7CAB">
        <w:t>limitation</w:t>
      </w:r>
      <w:r w:rsidR="00EA38CB">
        <w:t xml:space="preserve">, </w:t>
      </w:r>
      <w:r w:rsidR="00691E19">
        <w:t xml:space="preserve">I build this dataset on </w:t>
      </w:r>
      <w:r>
        <w:t xml:space="preserve">Cunningham’s (2014, 14; 235) </w:t>
      </w:r>
      <w:r w:rsidRPr="00A91E2C">
        <w:t xml:space="preserve">list of self-determination movements, which are ultimately drawn from a list of the Minorities at Risk project (Marshall and </w:t>
      </w:r>
      <w:proofErr w:type="spellStart"/>
      <w:r w:rsidRPr="00A91E2C">
        <w:t>Gurr</w:t>
      </w:r>
      <w:proofErr w:type="spellEnd"/>
      <w:r w:rsidRPr="00A91E2C">
        <w:t xml:space="preserve"> 2003)</w:t>
      </w:r>
      <w:r w:rsidR="00E2740A" w:rsidRPr="00A91E2C">
        <w:t>, and studied between 1960 and 2016</w:t>
      </w:r>
      <w:r w:rsidRPr="00A91E2C">
        <w:t>.</w:t>
      </w:r>
      <w:r w:rsidR="00EA38CB" w:rsidRPr="00A91E2C">
        <w:t xml:space="preserve"> The full set consists of 1124 organizations making claims for self-governance on behalf of 138</w:t>
      </w:r>
      <w:r w:rsidR="00EA38CB" w:rsidRPr="00A91E2C">
        <w:rPr>
          <w:b/>
          <w:bCs/>
        </w:rPr>
        <w:t xml:space="preserve"> </w:t>
      </w:r>
      <w:r w:rsidR="00EA38CB" w:rsidRPr="00A91E2C">
        <w:t>identity groups; however, due to the practical difficulties of coding this number of organizations, I have created my</w:t>
      </w:r>
      <w:r w:rsidR="00EA38CB">
        <w:t xml:space="preserve"> dataset on a subset of </w:t>
      </w:r>
      <w:r w:rsidR="001F2A03">
        <w:t xml:space="preserve">51 </w:t>
      </w:r>
      <w:r w:rsidR="00E2740A">
        <w:t xml:space="preserve">organizations in 5 </w:t>
      </w:r>
      <w:r w:rsidR="004F5066">
        <w:lastRenderedPageBreak/>
        <w:t xml:space="preserve">randomly selected </w:t>
      </w:r>
      <w:r w:rsidR="00E2740A">
        <w:t>identity groups</w:t>
      </w:r>
      <w:r w:rsidR="004F5066">
        <w:t xml:space="preserve"> in Pakistan, India, Canada, and Ethiopia</w:t>
      </w:r>
      <w:r w:rsidR="00E2740A">
        <w:t xml:space="preserve">; this leads to an organization-year sample of 850 observations. </w:t>
      </w:r>
    </w:p>
    <w:p w14:paraId="62C17AE9" w14:textId="55B99F58" w:rsidR="00A91E2C" w:rsidRDefault="00691E19" w:rsidP="0031404B">
      <w:pPr>
        <w:spacing w:line="480" w:lineRule="auto"/>
        <w:ind w:firstLine="720"/>
      </w:pPr>
      <w:r w:rsidRPr="00691E19">
        <w:t xml:space="preserve">For each </w:t>
      </w:r>
      <w:r>
        <w:t xml:space="preserve">organization, I code whether it is a </w:t>
      </w:r>
      <w:r w:rsidR="00182587">
        <w:t xml:space="preserve">religious </w:t>
      </w:r>
      <w:r>
        <w:t xml:space="preserve">organization (or </w:t>
      </w:r>
      <w:r w:rsidR="00182587">
        <w:t xml:space="preserve">following </w:t>
      </w:r>
      <w:r>
        <w:t xml:space="preserve">a religion-like </w:t>
      </w:r>
      <w:r w:rsidR="001F1E9A">
        <w:t>ideology</w:t>
      </w:r>
      <w:r>
        <w:t xml:space="preserve">). </w:t>
      </w:r>
      <w:r w:rsidR="009A63C2">
        <w:t xml:space="preserve">Recall that for members to receive a benefit solely for pursuing the organization’s cause, its </w:t>
      </w:r>
      <w:r w:rsidR="001F1E9A">
        <w:t xml:space="preserve">claims </w:t>
      </w:r>
      <w:r w:rsidR="009A63C2">
        <w:t xml:space="preserve">must be </w:t>
      </w:r>
      <w:r w:rsidR="001F1E9A">
        <w:t>on behalf of the religion or ideology</w:t>
      </w:r>
      <w:r w:rsidR="009A63C2">
        <w:t xml:space="preserve"> (</w:t>
      </w:r>
      <w:r w:rsidR="009A63C2" w:rsidRPr="006F0D5B">
        <w:t xml:space="preserve">Gates and </w:t>
      </w:r>
      <w:proofErr w:type="spellStart"/>
      <w:r w:rsidR="009A63C2" w:rsidRPr="006F0D5B">
        <w:t>Nordås</w:t>
      </w:r>
      <w:proofErr w:type="spellEnd"/>
      <w:r w:rsidR="009A63C2" w:rsidRPr="006F0D5B">
        <w:t xml:space="preserve"> 2010, 9</w:t>
      </w:r>
      <w:r w:rsidR="009A63C2">
        <w:t>, 28; Walter 2017, 20). Crucially,</w:t>
      </w:r>
      <w:r w:rsidR="00EB46C2">
        <w:t xml:space="preserve"> </w:t>
      </w:r>
      <w:r w:rsidR="001F1E9A">
        <w:t xml:space="preserve">an organization whose membership happens to adhere to a particular </w:t>
      </w:r>
      <w:r w:rsidR="00BA7832">
        <w:t>religion</w:t>
      </w:r>
      <w:r w:rsidR="001F1E9A">
        <w:t xml:space="preserve"> would not </w:t>
      </w:r>
      <w:r w:rsidR="009A63C2">
        <w:t xml:space="preserve">enjoy this effect unless </w:t>
      </w:r>
      <w:r w:rsidR="001F1E9A">
        <w:t>it</w:t>
      </w:r>
      <w:r w:rsidR="009A63C2">
        <w:t>s</w:t>
      </w:r>
      <w:r w:rsidR="001F1E9A">
        <w:t xml:space="preserve"> claim</w:t>
      </w:r>
      <w:r w:rsidR="009A63C2">
        <w:t>s</w:t>
      </w:r>
      <w:r w:rsidR="001F1E9A">
        <w:t xml:space="preserve"> </w:t>
      </w:r>
      <w:r w:rsidR="009A63C2">
        <w:t xml:space="preserve">were </w:t>
      </w:r>
      <w:r w:rsidR="001F1E9A">
        <w:t xml:space="preserve">based on that </w:t>
      </w:r>
      <w:r w:rsidR="00BA7832">
        <w:t>belief</w:t>
      </w:r>
      <w:r w:rsidR="001F1E9A">
        <w:t xml:space="preserve">. </w:t>
      </w:r>
      <w:r w:rsidR="00EB46C2">
        <w:t>So, t</w:t>
      </w:r>
      <w:r w:rsidR="00C24F1F">
        <w:t xml:space="preserve">his coding expressly does not include organizations that may </w:t>
      </w:r>
      <w:r w:rsidR="00EB46C2">
        <w:t xml:space="preserve">discuss </w:t>
      </w:r>
      <w:r w:rsidR="00C24F1F">
        <w:t xml:space="preserve">religion occasionally as a means of carrying out other goals (like the Palestinian Liberation Organization, for example) or nonreligious organizations that are associated with a religious </w:t>
      </w:r>
      <w:r w:rsidR="00D139A8">
        <w:t xml:space="preserve">identity </w:t>
      </w:r>
      <w:r w:rsidR="00C24F1F">
        <w:t xml:space="preserve">group despite being themselves nonreligious (like the Irish Republican Army, for example). I have only coded as religious </w:t>
      </w:r>
      <w:r w:rsidR="0031404B">
        <w:t xml:space="preserve">an </w:t>
      </w:r>
      <w:r w:rsidR="00C24F1F">
        <w:t xml:space="preserve">organization </w:t>
      </w:r>
      <w:r w:rsidR="0031404B">
        <w:t xml:space="preserve">whose primary political </w:t>
      </w:r>
      <w:r w:rsidR="001F1E9A">
        <w:t>claims</w:t>
      </w:r>
      <w:r w:rsidR="0031404B">
        <w:t xml:space="preserve"> are </w:t>
      </w:r>
      <w:r w:rsidR="00E2740A">
        <w:t>considered</w:t>
      </w:r>
      <w:r w:rsidR="0031404B">
        <w:t>, at least in public,</w:t>
      </w:r>
      <w:r w:rsidR="00E2740A">
        <w:t xml:space="preserve"> </w:t>
      </w:r>
      <w:r w:rsidR="0031404B">
        <w:t xml:space="preserve">by an organization </w:t>
      </w:r>
      <w:r w:rsidR="00E2740A">
        <w:t xml:space="preserve">to be a necessary result of pursuing a </w:t>
      </w:r>
      <w:r w:rsidR="001F1E9A">
        <w:t xml:space="preserve">religion or </w:t>
      </w:r>
      <w:r w:rsidR="00BA7832">
        <w:t>religion-like</w:t>
      </w:r>
      <w:r w:rsidR="001F1E9A">
        <w:t xml:space="preserve"> ideology in each year in which the organization is active</w:t>
      </w:r>
      <w:r w:rsidR="002E29AB">
        <w:t>.</w:t>
      </w:r>
    </w:p>
    <w:p w14:paraId="6E1DE0B8" w14:textId="1C8020DF" w:rsidR="0031404B" w:rsidRDefault="007236DE" w:rsidP="007236DE">
      <w:pPr>
        <w:spacing w:line="480" w:lineRule="auto"/>
        <w:ind w:firstLine="720"/>
      </w:pPr>
      <w:r>
        <w:t xml:space="preserve">For each year in which an organization has been actively pursuing self-determination demands, </w:t>
      </w:r>
      <w:r w:rsidR="0031404B">
        <w:t>I have coded whether religion or a religion-like ideology</w:t>
      </w:r>
      <w:r>
        <w:t xml:space="preserve"> primarily motivated those demands within the organization</w:t>
      </w:r>
      <w:r w:rsidR="0031404B">
        <w:t xml:space="preserve">. An organization is coded as religious in a year when it has a primary justification for its core political claims and that justification consists of a system of thought which the same organization considers to exclusively direct at least some behavior outside of the context of the political dispute with the government. </w:t>
      </w:r>
      <w:r w:rsidR="006B3C4D">
        <w:t xml:space="preserve">While such systems of thought are usually religious, they </w:t>
      </w:r>
      <w:r w:rsidR="006229D9">
        <w:t>do</w:t>
      </w:r>
      <w:r w:rsidR="006B3C4D">
        <w:t xml:space="preserve"> not have to be (Berman and </w:t>
      </w:r>
      <w:proofErr w:type="spellStart"/>
      <w:r w:rsidR="006B3C4D">
        <w:t>Laitin</w:t>
      </w:r>
      <w:proofErr w:type="spellEnd"/>
      <w:r w:rsidR="006B3C4D">
        <w:t xml:space="preserve"> 2008, 1950), with socialist ideology sometimes providing a similar function (</w:t>
      </w:r>
      <w:proofErr w:type="spellStart"/>
      <w:r w:rsidR="006B3C4D">
        <w:t>Kalyvas</w:t>
      </w:r>
      <w:proofErr w:type="spellEnd"/>
      <w:r w:rsidR="006B3C4D">
        <w:t xml:space="preserve"> and </w:t>
      </w:r>
      <w:proofErr w:type="spellStart"/>
      <w:r w:rsidR="006B3C4D">
        <w:t>Balcells</w:t>
      </w:r>
      <w:proofErr w:type="spellEnd"/>
      <w:r w:rsidR="006B3C4D">
        <w:t xml:space="preserve"> 2010, 421). Such principles are not necessarily a closed set. </w:t>
      </w:r>
      <w:r w:rsidR="0031404B">
        <w:t xml:space="preserve">In the current sample, the nonreligious </w:t>
      </w:r>
      <w:r w:rsidR="0031404B">
        <w:lastRenderedPageBreak/>
        <w:t>ideologies that meet this requirement are socialism and indigenous knowledge</w:t>
      </w:r>
      <w:r w:rsidR="001A745C">
        <w:t>,</w:t>
      </w:r>
      <w:r w:rsidR="001A745C" w:rsidRPr="001A745C">
        <w:t xml:space="preserve"> </w:t>
      </w:r>
      <w:r w:rsidR="00D61875">
        <w:t xml:space="preserve">by which I mean </w:t>
      </w:r>
      <w:r w:rsidR="00165C48">
        <w:t xml:space="preserve">the extension of cultural tradition to a comprehensive system of thought which is used to derive rules for </w:t>
      </w:r>
      <w:r w:rsidR="00D61875">
        <w:t>new social situations. For example</w:t>
      </w:r>
      <w:r w:rsidR="001A745C" w:rsidRPr="001A745C">
        <w:t>, the Inuit Circumpolar Conference used “traditional indigenous discourse (stewardship, subsistence, traditional knowledge, and indigenous governance) and transformed these into an overarching contemporary Arctic political agenda” (</w:t>
      </w:r>
      <w:proofErr w:type="spellStart"/>
      <w:r w:rsidR="001A745C" w:rsidRPr="001A745C">
        <w:t>Shadian</w:t>
      </w:r>
      <w:proofErr w:type="spellEnd"/>
      <w:r w:rsidR="001A745C" w:rsidRPr="001A745C">
        <w:t xml:space="preserve"> 2006, 284)</w:t>
      </w:r>
      <w:r w:rsidR="0031404B">
        <w:t xml:space="preserve">. </w:t>
      </w:r>
      <w:r>
        <w:t>Since the organization uses this as a system of thought which directs ecology as well as politics, it meets the above definition</w:t>
      </w:r>
      <w:r w:rsidR="00892600">
        <w:t xml:space="preserve"> of a religion-like ideology.</w:t>
      </w:r>
    </w:p>
    <w:p w14:paraId="6A4956A3" w14:textId="61AA1143" w:rsidR="001F1E9A" w:rsidRDefault="001F1E9A" w:rsidP="005C2FD9">
      <w:pPr>
        <w:spacing w:line="480" w:lineRule="auto"/>
        <w:ind w:firstLine="720"/>
        <w:rPr>
          <w:rFonts w:cs="Times New Roman"/>
          <w:szCs w:val="24"/>
        </w:rPr>
      </w:pPr>
      <w:r>
        <w:rPr>
          <w:rFonts w:cs="Times New Roman"/>
          <w:szCs w:val="24"/>
        </w:rPr>
        <w:t xml:space="preserve">I </w:t>
      </w:r>
      <w:r w:rsidR="002E29AB">
        <w:rPr>
          <w:rFonts w:cs="Times New Roman"/>
          <w:szCs w:val="24"/>
        </w:rPr>
        <w:t xml:space="preserve">have also </w:t>
      </w:r>
      <w:r>
        <w:rPr>
          <w:rFonts w:cs="Times New Roman"/>
          <w:szCs w:val="24"/>
        </w:rPr>
        <w:t>code</w:t>
      </w:r>
      <w:r w:rsidR="002E29AB">
        <w:rPr>
          <w:rFonts w:cs="Times New Roman"/>
          <w:szCs w:val="24"/>
        </w:rPr>
        <w:t>d</w:t>
      </w:r>
      <w:r>
        <w:rPr>
          <w:rFonts w:cs="Times New Roman"/>
          <w:szCs w:val="24"/>
        </w:rPr>
        <w:t xml:space="preserve"> a binary indicator for the whether or not organization </w:t>
      </w:r>
      <w:r w:rsidR="005C2FD9">
        <w:rPr>
          <w:rFonts w:cs="Times New Roman"/>
          <w:szCs w:val="24"/>
        </w:rPr>
        <w:t xml:space="preserve">has </w:t>
      </w:r>
      <w:r w:rsidR="00994D7F">
        <w:rPr>
          <w:rFonts w:cs="Times New Roman"/>
          <w:szCs w:val="24"/>
        </w:rPr>
        <w:t xml:space="preserve">encouraged its members to engage in </w:t>
      </w:r>
      <w:r w:rsidR="005C2FD9">
        <w:rPr>
          <w:rFonts w:cs="Times New Roman"/>
          <w:szCs w:val="24"/>
        </w:rPr>
        <w:t xml:space="preserve">participation </w:t>
      </w:r>
      <w:r w:rsidR="00994D7F">
        <w:rPr>
          <w:rFonts w:cs="Times New Roman"/>
          <w:szCs w:val="24"/>
        </w:rPr>
        <w:t xml:space="preserve">in non-political activities </w:t>
      </w:r>
      <w:r w:rsidR="005C2FD9">
        <w:rPr>
          <w:rFonts w:cs="Times New Roman"/>
          <w:szCs w:val="24"/>
        </w:rPr>
        <w:t xml:space="preserve">or </w:t>
      </w:r>
      <w:r w:rsidR="00994D7F">
        <w:rPr>
          <w:rFonts w:cs="Times New Roman"/>
          <w:szCs w:val="24"/>
        </w:rPr>
        <w:t>uphold standards of behavior</w:t>
      </w:r>
      <w:r w:rsidR="00AB3F07">
        <w:rPr>
          <w:rFonts w:cs="Times New Roman"/>
          <w:szCs w:val="24"/>
        </w:rPr>
        <w:t>, either of which constitutes a signal of commitment among the members to each other</w:t>
      </w:r>
      <w:r w:rsidR="005C2FD9">
        <w:rPr>
          <w:rFonts w:cs="Times New Roman"/>
          <w:szCs w:val="24"/>
        </w:rPr>
        <w:t xml:space="preserve">. </w:t>
      </w:r>
      <w:r w:rsidR="00645661">
        <w:rPr>
          <w:rFonts w:cs="Times New Roman"/>
          <w:szCs w:val="24"/>
        </w:rPr>
        <w:t xml:space="preserve">Costly participation involves theoretical religious or ideological activities, such as worship or education, labor to provide services not directly related to tactics, or very time-consuming social events. </w:t>
      </w:r>
      <w:r w:rsidR="005C2FD9">
        <w:rPr>
          <w:rFonts w:cs="Times New Roman"/>
          <w:szCs w:val="24"/>
        </w:rPr>
        <w:t xml:space="preserve">This indicator is present in a year when one of several </w:t>
      </w:r>
      <w:r w:rsidR="00B206EE">
        <w:rPr>
          <w:rFonts w:cs="Times New Roman"/>
          <w:szCs w:val="24"/>
        </w:rPr>
        <w:t>such</w:t>
      </w:r>
      <w:r w:rsidR="005C2FD9">
        <w:rPr>
          <w:rFonts w:cs="Times New Roman"/>
          <w:szCs w:val="24"/>
        </w:rPr>
        <w:t xml:space="preserve"> signals is present. First, the organization may have encouraged </w:t>
      </w:r>
      <w:r>
        <w:rPr>
          <w:rFonts w:cs="Times New Roman"/>
          <w:szCs w:val="24"/>
        </w:rPr>
        <w:t>members to engage in time-consuming activities with each other</w:t>
      </w:r>
      <w:r w:rsidR="00CB0E46">
        <w:rPr>
          <w:rFonts w:cs="Times New Roman"/>
          <w:szCs w:val="24"/>
        </w:rPr>
        <w:t xml:space="preserve">: for example, members of the Bodo Sahitya </w:t>
      </w:r>
      <w:proofErr w:type="spellStart"/>
      <w:r w:rsidR="00CB0E46">
        <w:rPr>
          <w:rFonts w:cs="Times New Roman"/>
          <w:szCs w:val="24"/>
        </w:rPr>
        <w:t>Sahba</w:t>
      </w:r>
      <w:proofErr w:type="spellEnd"/>
      <w:r w:rsidR="00CB0E46">
        <w:rPr>
          <w:rFonts w:cs="Times New Roman"/>
          <w:szCs w:val="24"/>
        </w:rPr>
        <w:t xml:space="preserve"> annually commemorate the foundation of the organization with a special ceremony (BSS 2004) and are encouraged to </w:t>
      </w:r>
      <w:r w:rsidR="000744AC">
        <w:rPr>
          <w:rFonts w:cs="Times New Roman"/>
          <w:szCs w:val="24"/>
        </w:rPr>
        <w:t>organize and participate in dance, music, and art festivals which promote the culture of the self-determination group (</w:t>
      </w:r>
      <w:proofErr w:type="spellStart"/>
      <w:r w:rsidR="000744AC">
        <w:rPr>
          <w:rFonts w:cs="Times New Roman"/>
          <w:szCs w:val="24"/>
        </w:rPr>
        <w:t>Saika</w:t>
      </w:r>
      <w:proofErr w:type="spellEnd"/>
      <w:r w:rsidR="000744AC">
        <w:rPr>
          <w:rFonts w:cs="Times New Roman"/>
          <w:szCs w:val="24"/>
        </w:rPr>
        <w:t xml:space="preserve"> 2009, 116-7)</w:t>
      </w:r>
      <w:r>
        <w:rPr>
          <w:rFonts w:cs="Times New Roman"/>
          <w:szCs w:val="24"/>
        </w:rPr>
        <w:t xml:space="preserve">. For the commitment to be credible, this commitment must be visible to the membership at large (Berman 2009, </w:t>
      </w:r>
      <w:r>
        <w:t>McLauchlin 2015, 669</w:t>
      </w:r>
      <w:r>
        <w:rPr>
          <w:rFonts w:cs="Times New Roman"/>
          <w:szCs w:val="24"/>
        </w:rPr>
        <w:t xml:space="preserve">), so only those activities which the membership at large has the opportunity to witness will count. Furthermore, to avoid endogeneity, activities directly related </w:t>
      </w:r>
      <w:r w:rsidR="00B206EE">
        <w:rPr>
          <w:rFonts w:cs="Times New Roman"/>
          <w:szCs w:val="24"/>
        </w:rPr>
        <w:t xml:space="preserve">to pursuing political activity: </w:t>
      </w:r>
      <w:r>
        <w:rPr>
          <w:rFonts w:cs="Times New Roman"/>
          <w:szCs w:val="24"/>
        </w:rPr>
        <w:t xml:space="preserve">the direct training, planning, or carrying out of tactics, or obtaining material resources for the same will not be counted as costly ideological participation. (Moreover, these are not as costly of signals of commitment to </w:t>
      </w:r>
      <w:r>
        <w:rPr>
          <w:rFonts w:cs="Times New Roman"/>
          <w:szCs w:val="24"/>
        </w:rPr>
        <w:lastRenderedPageBreak/>
        <w:t xml:space="preserve">the cause since </w:t>
      </w:r>
      <w:proofErr w:type="gramStart"/>
      <w:r>
        <w:rPr>
          <w:rFonts w:cs="Times New Roman"/>
          <w:szCs w:val="24"/>
        </w:rPr>
        <w:t>they</w:t>
      </w:r>
      <w:proofErr w:type="gramEnd"/>
      <w:r>
        <w:rPr>
          <w:rFonts w:cs="Times New Roman"/>
          <w:szCs w:val="24"/>
        </w:rPr>
        <w:t xml:space="preserve"> also further an individual’s chances at rising in power in the organization from taking successful action against the state.). </w:t>
      </w:r>
    </w:p>
    <w:p w14:paraId="645EE89F" w14:textId="7395DC4B" w:rsidR="00436238" w:rsidRPr="00F835C3" w:rsidRDefault="001F1E9A" w:rsidP="005C2FD9">
      <w:pPr>
        <w:spacing w:line="480" w:lineRule="auto"/>
        <w:rPr>
          <w:rFonts w:cs="Times New Roman"/>
          <w:szCs w:val="24"/>
        </w:rPr>
      </w:pPr>
      <w:r>
        <w:rPr>
          <w:rFonts w:cs="Times New Roman"/>
          <w:szCs w:val="24"/>
        </w:rPr>
        <w:tab/>
      </w:r>
      <w:r w:rsidR="005C2FD9">
        <w:rPr>
          <w:rFonts w:cs="Times New Roman"/>
          <w:szCs w:val="24"/>
        </w:rPr>
        <w:t xml:space="preserve">Second, signals of commitment also include </w:t>
      </w:r>
      <w:r>
        <w:rPr>
          <w:rFonts w:cs="Times New Roman"/>
          <w:szCs w:val="24"/>
        </w:rPr>
        <w:t>costly prohibitions, the second factor which facilitates the production of club goods and, ultimately, recruitment, for each organization. More broadly, these are mandates on behavior which reduce options to receive club goods outside of the organization by visibly distinguishing the members from the general public (</w:t>
      </w:r>
      <w:r w:rsidRPr="006F0D5B">
        <w:t xml:space="preserve">Berman 2000, 908; </w:t>
      </w:r>
      <w:proofErr w:type="spellStart"/>
      <w:r w:rsidRPr="006F0D5B">
        <w:t>Iannaccone</w:t>
      </w:r>
      <w:proofErr w:type="spellEnd"/>
      <w:r w:rsidRPr="006F0D5B">
        <w:t xml:space="preserve"> and Berman 2006, 116; Berman and </w:t>
      </w:r>
      <w:proofErr w:type="spellStart"/>
      <w:r w:rsidRPr="006F0D5B">
        <w:t>Laitin</w:t>
      </w:r>
      <w:proofErr w:type="spellEnd"/>
      <w:r w:rsidRPr="006F0D5B">
        <w:t xml:space="preserve"> 2008, 1943, 1951</w:t>
      </w:r>
      <w:r>
        <w:t xml:space="preserve">). </w:t>
      </w:r>
      <w:r w:rsidR="005C2FD9">
        <w:t xml:space="preserve">Examples include </w:t>
      </w:r>
      <w:r>
        <w:t>mandates about diet, clothing, social activities, particularly those related to family and children, travel, and media consumption</w:t>
      </w:r>
      <w:r w:rsidR="005C2FD9">
        <w:t>;</w:t>
      </w:r>
      <w:r>
        <w:t xml:space="preserve"> all</w:t>
      </w:r>
      <w:r w:rsidR="005C2FD9">
        <w:t xml:space="preserve"> of these</w:t>
      </w:r>
      <w:r>
        <w:t xml:space="preserve"> distinguish organization members and make it more difficult for them to find solidary goods and social services from other parts of society (Berman 2009, 65, 80). </w:t>
      </w:r>
    </w:p>
    <w:p w14:paraId="161AE1D7" w14:textId="2678CA64" w:rsidR="00CD23BC" w:rsidRDefault="003A2767" w:rsidP="0076578C">
      <w:pPr>
        <w:spacing w:line="480" w:lineRule="auto"/>
        <w:ind w:firstLine="720"/>
      </w:pPr>
      <w:r>
        <w:t xml:space="preserve">The coding process for each organization and variable was carefully structured to be consistent across observations. </w:t>
      </w:r>
      <w:r w:rsidR="00233819">
        <w:t xml:space="preserve">I </w:t>
      </w:r>
      <w:r>
        <w:t xml:space="preserve">searched </w:t>
      </w:r>
      <w:r w:rsidR="00233819">
        <w:t xml:space="preserve">the </w:t>
      </w:r>
      <w:r w:rsidR="00233819">
        <w:rPr>
          <w:lang w:bidi="ar-JO"/>
        </w:rPr>
        <w:t xml:space="preserve">sources used to build the </w:t>
      </w:r>
      <w:r w:rsidR="005C2FD9">
        <w:rPr>
          <w:lang w:bidi="ar-JO"/>
        </w:rPr>
        <w:t>Cunningham’s (2014) dataset:</w:t>
      </w:r>
      <w:r w:rsidR="00233819">
        <w:rPr>
          <w:lang w:bidi="ar-JO"/>
        </w:rPr>
        <w:t xml:space="preserve"> </w:t>
      </w:r>
      <w:r w:rsidR="00233819">
        <w:t>Lexis Nexis, Factiva, Keesing’s news databases,</w:t>
      </w:r>
      <w:r w:rsidR="00233819" w:rsidRPr="00BE1EAC">
        <w:t xml:space="preserve"> </w:t>
      </w:r>
      <w:r>
        <w:t xml:space="preserve">as well as searching dissertations, </w:t>
      </w:r>
      <w:r w:rsidR="005C2FD9">
        <w:t>academic books</w:t>
      </w:r>
      <w:r>
        <w:t>,</w:t>
      </w:r>
      <w:r w:rsidR="005C2FD9">
        <w:t xml:space="preserve"> and articles</w:t>
      </w:r>
      <w:r>
        <w:t xml:space="preserve">. After searching these, I </w:t>
      </w:r>
      <w:r w:rsidR="00331928">
        <w:t>employed searches in</w:t>
      </w:r>
      <w:r>
        <w:t xml:space="preserve"> Google for additional sources if needed. I first looked for an organization’s demands for independence, autonomy, or other rights for the identity group. I looked to see if an organization’s highest demand-- </w:t>
      </w:r>
      <w:r w:rsidR="006229D9">
        <w:t>i.e.,</w:t>
      </w:r>
      <w:r>
        <w:t xml:space="preserve"> independence if applicable, then autonomy, and only other demands </w:t>
      </w:r>
      <w:r w:rsidR="0076578C">
        <w:t xml:space="preserve">for the identity group’s self-governance (such as land rights) </w:t>
      </w:r>
      <w:r>
        <w:t>if neither independence or autonomy was demanded—was justified as part of religious framework or another framework of ideas. If another framework, it needed to assert that that framework explained behavior outside the political context against the government. If an organization made a demand against the government or used a religious justification</w:t>
      </w:r>
      <w:r w:rsidR="00537554">
        <w:t xml:space="preserve"> at a point in time</w:t>
      </w:r>
      <w:r>
        <w:t xml:space="preserve">, I considered that </w:t>
      </w:r>
      <w:r w:rsidR="00155A1A">
        <w:t xml:space="preserve">situation </w:t>
      </w:r>
      <w:r>
        <w:t xml:space="preserve">to have </w:t>
      </w:r>
      <w:r>
        <w:lastRenderedPageBreak/>
        <w:t xml:space="preserve">continued </w:t>
      </w:r>
      <w:r w:rsidR="00155A1A">
        <w:t xml:space="preserve">until and unless, either it was clearly linked to a one-time event, or </w:t>
      </w:r>
      <w:r>
        <w:t xml:space="preserve">I found later evidence </w:t>
      </w:r>
      <w:r w:rsidR="00537554">
        <w:t>that the organization had ceased to make that demand or use that justification.</w:t>
      </w:r>
      <w:r w:rsidR="00377E99">
        <w:t xml:space="preserve"> </w:t>
      </w:r>
      <w:r w:rsidR="00537554">
        <w:t>I coded costly participation and prohibitions similarly</w:t>
      </w:r>
      <w:r w:rsidR="00377E99">
        <w:t>,</w:t>
      </w:r>
      <w:r w:rsidR="00537554">
        <w:t xml:space="preserve"> except that I only considered these to have continued over time if there was evidence that the participation or prohibition was clearly intended to persist</w:t>
      </w:r>
      <w:r w:rsidR="00155A1A">
        <w:t xml:space="preserve"> indefinitely</w:t>
      </w:r>
      <w:r w:rsidR="00537554">
        <w:t xml:space="preserve">; otherwise, I only coded these in the years for which I found </w:t>
      </w:r>
      <w:r w:rsidR="00155A1A">
        <w:t xml:space="preserve">direct </w:t>
      </w:r>
      <w:r w:rsidR="00537554">
        <w:t xml:space="preserve">evidence </w:t>
      </w:r>
      <w:r w:rsidR="00155A1A">
        <w:t xml:space="preserve">for </w:t>
      </w:r>
      <w:r w:rsidR="00537554">
        <w:t>them. An organization did not have to have a religious or religion-like ideology to require costly participation and prohibitions, so these are potentially independent of the religion or religion-like ideology. Thus, this process provides a systemic review of an organization’s demands, systems of thought, and commitment signals</w:t>
      </w:r>
      <w:r w:rsidR="00377E99">
        <w:t xml:space="preserve"> for each year during which the organization made a demand on behalf of the identity group.</w:t>
      </w:r>
    </w:p>
    <w:p w14:paraId="43D1C508" w14:textId="2EAD82A5" w:rsidR="004F5066" w:rsidRDefault="00953F31" w:rsidP="004F5066">
      <w:pPr>
        <w:spacing w:line="480" w:lineRule="auto"/>
        <w:ind w:firstLine="720"/>
      </w:pPr>
      <w:r>
        <w:t xml:space="preserve">The sample of </w:t>
      </w:r>
      <w:r w:rsidR="001F2A03">
        <w:t>51</w:t>
      </w:r>
      <w:r>
        <w:t xml:space="preserve"> organizations and </w:t>
      </w:r>
      <w:r w:rsidR="00271380">
        <w:t>925</w:t>
      </w:r>
      <w:r>
        <w:t xml:space="preserve"> organization-years yields a distribution of five </w:t>
      </w:r>
      <w:proofErr w:type="gramStart"/>
      <w:r>
        <w:t>religious</w:t>
      </w:r>
      <w:proofErr w:type="gramEnd"/>
      <w:r>
        <w:t xml:space="preserve"> categories</w:t>
      </w:r>
      <w:r w:rsidR="004F5066">
        <w:t xml:space="preserve"> (Table 1)</w:t>
      </w:r>
      <w:r>
        <w:t xml:space="preserve">. </w:t>
      </w:r>
      <w:r w:rsidR="00B716F7">
        <w:t xml:space="preserve">More than </w:t>
      </w:r>
      <w:r>
        <w:t xml:space="preserve">half </w:t>
      </w:r>
      <w:r w:rsidR="00B716F7">
        <w:t xml:space="preserve">(548 or 59 percent) </w:t>
      </w:r>
      <w:r>
        <w:t xml:space="preserve">of the organization-years are </w:t>
      </w:r>
      <w:r w:rsidR="00B716F7">
        <w:t xml:space="preserve">neither religious </w:t>
      </w:r>
      <w:r>
        <w:t xml:space="preserve">nor have any religion-like ideology. </w:t>
      </w:r>
      <w:r w:rsidR="00B716F7">
        <w:t xml:space="preserve">There are 52 (or 5%) socialist organization-years and 70 (8%) organization-years have an indigenous ideology. Given the sample, the religions involved are Hindu (231 organization-years or 25%) and Muslim (24 organization years or 3%). </w:t>
      </w:r>
      <w:r w:rsidR="004F5066">
        <w:t>Thus, though the random sample is limited, it includes organizations both nonreligious and religious, from multiple religious families, as well as multiple religion-like ideologies.</w:t>
      </w:r>
    </w:p>
    <w:p w14:paraId="2740737B" w14:textId="07DA1AC6" w:rsidR="004F5066" w:rsidRPr="00571EDE" w:rsidRDefault="004F5066" w:rsidP="00256048">
      <w:pPr>
        <w:spacing w:line="480" w:lineRule="auto"/>
        <w:rPr>
          <w:b/>
          <w:bCs/>
        </w:rPr>
      </w:pPr>
      <w:r w:rsidRPr="00571EDE">
        <w:rPr>
          <w:b/>
          <w:bCs/>
        </w:rPr>
        <w:t>Table 1: Distribution of Organization-Years by Religion or Ideology</w:t>
      </w: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020"/>
        <w:gridCol w:w="1020"/>
        <w:gridCol w:w="1020"/>
        <w:gridCol w:w="1240"/>
        <w:gridCol w:w="2080"/>
      </w:tblGrid>
      <w:tr w:rsidR="00291972" w:rsidRPr="008B2E4F" w14:paraId="7ECE1868" w14:textId="77777777" w:rsidTr="008B2E4F">
        <w:trPr>
          <w:trHeight w:val="287"/>
        </w:trPr>
        <w:tc>
          <w:tcPr>
            <w:tcW w:w="1728" w:type="dxa"/>
            <w:shd w:val="clear" w:color="auto" w:fill="auto"/>
            <w:noWrap/>
            <w:vAlign w:val="bottom"/>
            <w:hideMark/>
          </w:tcPr>
          <w:p w14:paraId="4FCCFED2" w14:textId="77777777" w:rsidR="00291972" w:rsidRPr="008B2E4F" w:rsidRDefault="00291972" w:rsidP="00291972">
            <w:pPr>
              <w:rPr>
                <w:rFonts w:eastAsia="Times New Roman" w:cs="Times New Roman"/>
                <w:szCs w:val="24"/>
              </w:rPr>
            </w:pPr>
          </w:p>
        </w:tc>
        <w:tc>
          <w:tcPr>
            <w:tcW w:w="1020" w:type="dxa"/>
            <w:shd w:val="clear" w:color="auto" w:fill="auto"/>
            <w:noWrap/>
            <w:vAlign w:val="bottom"/>
            <w:hideMark/>
          </w:tcPr>
          <w:p w14:paraId="0658A911" w14:textId="77777777" w:rsidR="00291972" w:rsidRPr="008B2E4F" w:rsidRDefault="00291972" w:rsidP="00291972">
            <w:pPr>
              <w:rPr>
                <w:rFonts w:eastAsia="Times New Roman" w:cs="Times New Roman"/>
                <w:color w:val="000000"/>
                <w:szCs w:val="24"/>
              </w:rPr>
            </w:pPr>
            <w:r w:rsidRPr="008B2E4F">
              <w:rPr>
                <w:rFonts w:eastAsia="Times New Roman" w:cs="Times New Roman"/>
                <w:color w:val="000000"/>
                <w:szCs w:val="24"/>
              </w:rPr>
              <w:t>None</w:t>
            </w:r>
          </w:p>
        </w:tc>
        <w:tc>
          <w:tcPr>
            <w:tcW w:w="1020" w:type="dxa"/>
            <w:shd w:val="clear" w:color="auto" w:fill="auto"/>
            <w:noWrap/>
            <w:vAlign w:val="bottom"/>
            <w:hideMark/>
          </w:tcPr>
          <w:p w14:paraId="125A9E70" w14:textId="77777777" w:rsidR="00291972" w:rsidRPr="008B2E4F" w:rsidRDefault="00291972" w:rsidP="00291972">
            <w:pPr>
              <w:rPr>
                <w:rFonts w:eastAsia="Times New Roman" w:cs="Times New Roman"/>
                <w:color w:val="000000"/>
                <w:szCs w:val="24"/>
              </w:rPr>
            </w:pPr>
            <w:r w:rsidRPr="008B2E4F">
              <w:rPr>
                <w:rFonts w:eastAsia="Times New Roman" w:cs="Times New Roman"/>
                <w:color w:val="000000"/>
                <w:szCs w:val="24"/>
              </w:rPr>
              <w:t>Hindu</w:t>
            </w:r>
          </w:p>
        </w:tc>
        <w:tc>
          <w:tcPr>
            <w:tcW w:w="1020" w:type="dxa"/>
            <w:shd w:val="clear" w:color="auto" w:fill="auto"/>
            <w:noWrap/>
            <w:vAlign w:val="bottom"/>
            <w:hideMark/>
          </w:tcPr>
          <w:p w14:paraId="397CD713" w14:textId="77777777" w:rsidR="00291972" w:rsidRPr="008B2E4F" w:rsidRDefault="00291972" w:rsidP="00291972">
            <w:pPr>
              <w:rPr>
                <w:rFonts w:eastAsia="Times New Roman" w:cs="Times New Roman"/>
                <w:color w:val="000000"/>
                <w:szCs w:val="24"/>
              </w:rPr>
            </w:pPr>
            <w:r w:rsidRPr="008B2E4F">
              <w:rPr>
                <w:rFonts w:eastAsia="Times New Roman" w:cs="Times New Roman"/>
                <w:color w:val="000000"/>
                <w:szCs w:val="24"/>
              </w:rPr>
              <w:t>Islam</w:t>
            </w:r>
          </w:p>
        </w:tc>
        <w:tc>
          <w:tcPr>
            <w:tcW w:w="1240" w:type="dxa"/>
            <w:shd w:val="clear" w:color="auto" w:fill="auto"/>
            <w:noWrap/>
            <w:vAlign w:val="bottom"/>
            <w:hideMark/>
          </w:tcPr>
          <w:p w14:paraId="0553CA13" w14:textId="77777777" w:rsidR="00291972" w:rsidRPr="008B2E4F" w:rsidRDefault="00291972" w:rsidP="00291972">
            <w:pPr>
              <w:rPr>
                <w:rFonts w:eastAsia="Times New Roman" w:cs="Times New Roman"/>
                <w:color w:val="000000"/>
                <w:szCs w:val="24"/>
              </w:rPr>
            </w:pPr>
            <w:r w:rsidRPr="008B2E4F">
              <w:rPr>
                <w:rFonts w:eastAsia="Times New Roman" w:cs="Times New Roman"/>
                <w:color w:val="000000"/>
                <w:szCs w:val="24"/>
              </w:rPr>
              <w:t>Socialist</w:t>
            </w:r>
          </w:p>
        </w:tc>
        <w:tc>
          <w:tcPr>
            <w:tcW w:w="2080" w:type="dxa"/>
            <w:shd w:val="clear" w:color="auto" w:fill="auto"/>
            <w:noWrap/>
            <w:vAlign w:val="bottom"/>
            <w:hideMark/>
          </w:tcPr>
          <w:p w14:paraId="7A7BEA07" w14:textId="77777777" w:rsidR="00291972" w:rsidRPr="008B2E4F" w:rsidRDefault="00291972" w:rsidP="00291972">
            <w:pPr>
              <w:rPr>
                <w:rFonts w:eastAsia="Times New Roman" w:cs="Times New Roman"/>
                <w:color w:val="000000"/>
                <w:szCs w:val="24"/>
              </w:rPr>
            </w:pPr>
            <w:r w:rsidRPr="008B2E4F">
              <w:rPr>
                <w:rFonts w:eastAsia="Times New Roman" w:cs="Times New Roman"/>
                <w:color w:val="000000"/>
                <w:szCs w:val="24"/>
              </w:rPr>
              <w:t>Indigenous</w:t>
            </w:r>
          </w:p>
        </w:tc>
      </w:tr>
      <w:tr w:rsidR="00291972" w:rsidRPr="008B2E4F" w14:paraId="6930BA0F" w14:textId="77777777" w:rsidTr="008B2E4F">
        <w:trPr>
          <w:trHeight w:val="287"/>
        </w:trPr>
        <w:tc>
          <w:tcPr>
            <w:tcW w:w="1728" w:type="dxa"/>
            <w:shd w:val="clear" w:color="auto" w:fill="auto"/>
            <w:noWrap/>
            <w:vAlign w:val="bottom"/>
            <w:hideMark/>
          </w:tcPr>
          <w:p w14:paraId="438B5660" w14:textId="77777777" w:rsidR="00291972" w:rsidRPr="008B2E4F" w:rsidRDefault="00291972" w:rsidP="00291972">
            <w:pPr>
              <w:rPr>
                <w:rFonts w:eastAsia="Times New Roman" w:cs="Times New Roman"/>
                <w:color w:val="000000"/>
                <w:szCs w:val="24"/>
              </w:rPr>
            </w:pPr>
            <w:r w:rsidRPr="008B2E4F">
              <w:rPr>
                <w:rFonts w:eastAsia="Times New Roman" w:cs="Times New Roman"/>
                <w:color w:val="000000"/>
                <w:szCs w:val="24"/>
              </w:rPr>
              <w:t>Organization-Years</w:t>
            </w:r>
          </w:p>
        </w:tc>
        <w:tc>
          <w:tcPr>
            <w:tcW w:w="1020" w:type="dxa"/>
            <w:shd w:val="clear" w:color="auto" w:fill="auto"/>
            <w:noWrap/>
            <w:vAlign w:val="bottom"/>
            <w:hideMark/>
          </w:tcPr>
          <w:p w14:paraId="537D7FCF" w14:textId="77777777"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548</w:t>
            </w:r>
          </w:p>
        </w:tc>
        <w:tc>
          <w:tcPr>
            <w:tcW w:w="1020" w:type="dxa"/>
            <w:shd w:val="clear" w:color="auto" w:fill="auto"/>
            <w:noWrap/>
            <w:vAlign w:val="bottom"/>
            <w:hideMark/>
          </w:tcPr>
          <w:p w14:paraId="109D075D" w14:textId="77777777"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231</w:t>
            </w:r>
          </w:p>
        </w:tc>
        <w:tc>
          <w:tcPr>
            <w:tcW w:w="1020" w:type="dxa"/>
            <w:shd w:val="clear" w:color="auto" w:fill="auto"/>
            <w:noWrap/>
            <w:vAlign w:val="bottom"/>
            <w:hideMark/>
          </w:tcPr>
          <w:p w14:paraId="7330221F" w14:textId="77777777"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24</w:t>
            </w:r>
          </w:p>
        </w:tc>
        <w:tc>
          <w:tcPr>
            <w:tcW w:w="1240" w:type="dxa"/>
            <w:shd w:val="clear" w:color="auto" w:fill="auto"/>
            <w:noWrap/>
            <w:vAlign w:val="bottom"/>
            <w:hideMark/>
          </w:tcPr>
          <w:p w14:paraId="1899E6F7" w14:textId="77777777"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52</w:t>
            </w:r>
          </w:p>
        </w:tc>
        <w:tc>
          <w:tcPr>
            <w:tcW w:w="2080" w:type="dxa"/>
            <w:shd w:val="clear" w:color="auto" w:fill="auto"/>
            <w:noWrap/>
            <w:vAlign w:val="bottom"/>
            <w:hideMark/>
          </w:tcPr>
          <w:p w14:paraId="633E5431" w14:textId="77777777"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70</w:t>
            </w:r>
          </w:p>
        </w:tc>
      </w:tr>
      <w:tr w:rsidR="00291972" w:rsidRPr="008B2E4F" w14:paraId="65998A52" w14:textId="77777777" w:rsidTr="008B2E4F">
        <w:trPr>
          <w:trHeight w:val="287"/>
        </w:trPr>
        <w:tc>
          <w:tcPr>
            <w:tcW w:w="1728" w:type="dxa"/>
            <w:shd w:val="clear" w:color="auto" w:fill="auto"/>
            <w:noWrap/>
            <w:vAlign w:val="bottom"/>
            <w:hideMark/>
          </w:tcPr>
          <w:p w14:paraId="0D5EBEA0" w14:textId="77777777" w:rsidR="00291972" w:rsidRPr="008B2E4F" w:rsidRDefault="00291972" w:rsidP="00291972">
            <w:pPr>
              <w:rPr>
                <w:rFonts w:eastAsia="Times New Roman" w:cs="Times New Roman"/>
                <w:color w:val="000000"/>
                <w:szCs w:val="24"/>
              </w:rPr>
            </w:pPr>
            <w:r w:rsidRPr="008B2E4F">
              <w:rPr>
                <w:rFonts w:eastAsia="Times New Roman" w:cs="Times New Roman"/>
                <w:color w:val="000000"/>
                <w:szCs w:val="24"/>
              </w:rPr>
              <w:t>Percent</w:t>
            </w:r>
          </w:p>
        </w:tc>
        <w:tc>
          <w:tcPr>
            <w:tcW w:w="1020" w:type="dxa"/>
            <w:shd w:val="clear" w:color="auto" w:fill="auto"/>
            <w:noWrap/>
            <w:vAlign w:val="bottom"/>
            <w:hideMark/>
          </w:tcPr>
          <w:p w14:paraId="06C3A631" w14:textId="6C6963AB"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59.243</w:t>
            </w:r>
          </w:p>
        </w:tc>
        <w:tc>
          <w:tcPr>
            <w:tcW w:w="1020" w:type="dxa"/>
            <w:shd w:val="clear" w:color="auto" w:fill="auto"/>
            <w:noWrap/>
            <w:vAlign w:val="bottom"/>
            <w:hideMark/>
          </w:tcPr>
          <w:p w14:paraId="1ACB63C5" w14:textId="7B8C895F"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24.973</w:t>
            </w:r>
          </w:p>
        </w:tc>
        <w:tc>
          <w:tcPr>
            <w:tcW w:w="1020" w:type="dxa"/>
            <w:shd w:val="clear" w:color="auto" w:fill="auto"/>
            <w:noWrap/>
            <w:vAlign w:val="bottom"/>
            <w:hideMark/>
          </w:tcPr>
          <w:p w14:paraId="07BF385D" w14:textId="184215C5"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2.595</w:t>
            </w:r>
          </w:p>
        </w:tc>
        <w:tc>
          <w:tcPr>
            <w:tcW w:w="1240" w:type="dxa"/>
            <w:shd w:val="clear" w:color="auto" w:fill="auto"/>
            <w:noWrap/>
            <w:vAlign w:val="bottom"/>
            <w:hideMark/>
          </w:tcPr>
          <w:p w14:paraId="4DE1F950" w14:textId="2EDA032E"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5.622</w:t>
            </w:r>
          </w:p>
        </w:tc>
        <w:tc>
          <w:tcPr>
            <w:tcW w:w="2080" w:type="dxa"/>
            <w:shd w:val="clear" w:color="auto" w:fill="auto"/>
            <w:noWrap/>
            <w:vAlign w:val="bottom"/>
            <w:hideMark/>
          </w:tcPr>
          <w:p w14:paraId="71264E5F" w14:textId="78D2A7D5" w:rsidR="00291972" w:rsidRPr="008B2E4F" w:rsidRDefault="00291972" w:rsidP="00291972">
            <w:pPr>
              <w:jc w:val="right"/>
              <w:rPr>
                <w:rFonts w:eastAsia="Times New Roman" w:cs="Times New Roman"/>
                <w:color w:val="000000"/>
                <w:szCs w:val="24"/>
              </w:rPr>
            </w:pPr>
            <w:r w:rsidRPr="008B2E4F">
              <w:rPr>
                <w:rFonts w:eastAsia="Times New Roman" w:cs="Times New Roman"/>
                <w:color w:val="000000"/>
                <w:szCs w:val="24"/>
              </w:rPr>
              <w:t>7.568</w:t>
            </w:r>
          </w:p>
        </w:tc>
      </w:tr>
    </w:tbl>
    <w:p w14:paraId="1315CCB7" w14:textId="77777777" w:rsidR="008B2E4F" w:rsidRDefault="008B2E4F" w:rsidP="00CA4D5F">
      <w:pPr>
        <w:spacing w:line="480" w:lineRule="auto"/>
      </w:pPr>
    </w:p>
    <w:p w14:paraId="36C16489" w14:textId="77777777" w:rsidR="008B2E4F" w:rsidRDefault="008B2E4F">
      <w:r>
        <w:br w:type="page"/>
      </w:r>
    </w:p>
    <w:p w14:paraId="10001936" w14:textId="465B470C" w:rsidR="00CA4D5F" w:rsidRPr="00571EDE" w:rsidRDefault="00CA4D5F" w:rsidP="00CA4D5F">
      <w:pPr>
        <w:spacing w:line="480" w:lineRule="auto"/>
        <w:rPr>
          <w:b/>
          <w:bCs/>
        </w:rPr>
      </w:pPr>
      <w:r w:rsidRPr="00571EDE">
        <w:rPr>
          <w:b/>
          <w:bCs/>
        </w:rPr>
        <w:lastRenderedPageBreak/>
        <w:t>Table 2: Distribution of Organization-Years by Religion and Membership Practices</w:t>
      </w:r>
    </w:p>
    <w:tbl>
      <w:tblPr>
        <w:tblW w:w="7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03"/>
        <w:gridCol w:w="1527"/>
        <w:gridCol w:w="2080"/>
        <w:gridCol w:w="1800"/>
      </w:tblGrid>
      <w:tr w:rsidR="00CA4D5F" w:rsidRPr="008B2E4F" w14:paraId="62E340E7" w14:textId="77777777" w:rsidTr="008B2E4F">
        <w:trPr>
          <w:trHeight w:val="287"/>
        </w:trPr>
        <w:tc>
          <w:tcPr>
            <w:tcW w:w="1020" w:type="dxa"/>
            <w:shd w:val="clear" w:color="auto" w:fill="auto"/>
            <w:noWrap/>
            <w:vAlign w:val="bottom"/>
            <w:hideMark/>
          </w:tcPr>
          <w:p w14:paraId="118ECBC5" w14:textId="77777777" w:rsidR="00CA4D5F" w:rsidRPr="008B2E4F" w:rsidRDefault="00CA4D5F" w:rsidP="00CA4D5F">
            <w:pPr>
              <w:rPr>
                <w:rFonts w:eastAsia="Times New Roman" w:cs="Times New Roman"/>
                <w:szCs w:val="24"/>
              </w:rPr>
            </w:pPr>
          </w:p>
        </w:tc>
        <w:tc>
          <w:tcPr>
            <w:tcW w:w="2260" w:type="dxa"/>
            <w:gridSpan w:val="2"/>
            <w:shd w:val="clear" w:color="auto" w:fill="auto"/>
            <w:noWrap/>
            <w:vAlign w:val="bottom"/>
            <w:hideMark/>
          </w:tcPr>
          <w:p w14:paraId="2E2BFFD6" w14:textId="77777777" w:rsidR="00CA4D5F" w:rsidRPr="008B2E4F" w:rsidRDefault="00CA4D5F" w:rsidP="00CA4D5F">
            <w:pPr>
              <w:rPr>
                <w:rFonts w:eastAsia="Times New Roman" w:cs="Times New Roman"/>
                <w:i/>
                <w:iCs/>
                <w:color w:val="000000"/>
                <w:szCs w:val="24"/>
              </w:rPr>
            </w:pPr>
            <w:r w:rsidRPr="008B2E4F">
              <w:rPr>
                <w:rFonts w:eastAsia="Times New Roman" w:cs="Times New Roman"/>
                <w:i/>
                <w:iCs/>
                <w:color w:val="000000"/>
                <w:szCs w:val="24"/>
              </w:rPr>
              <w:t>No Membership Practices</w:t>
            </w:r>
          </w:p>
        </w:tc>
        <w:tc>
          <w:tcPr>
            <w:tcW w:w="2080" w:type="dxa"/>
            <w:shd w:val="clear" w:color="auto" w:fill="auto"/>
            <w:noWrap/>
            <w:vAlign w:val="bottom"/>
            <w:hideMark/>
          </w:tcPr>
          <w:p w14:paraId="69028237" w14:textId="77777777" w:rsidR="00CA4D5F" w:rsidRPr="008B2E4F" w:rsidRDefault="00CA4D5F" w:rsidP="00CA4D5F">
            <w:pPr>
              <w:rPr>
                <w:rFonts w:eastAsia="Times New Roman" w:cs="Times New Roman"/>
                <w:i/>
                <w:iCs/>
                <w:color w:val="000000"/>
                <w:szCs w:val="24"/>
              </w:rPr>
            </w:pPr>
            <w:r w:rsidRPr="008B2E4F">
              <w:rPr>
                <w:rFonts w:eastAsia="Times New Roman" w:cs="Times New Roman"/>
                <w:i/>
                <w:iCs/>
                <w:color w:val="000000"/>
                <w:szCs w:val="24"/>
              </w:rPr>
              <w:t>Membership Practices</w:t>
            </w:r>
          </w:p>
        </w:tc>
        <w:tc>
          <w:tcPr>
            <w:tcW w:w="1800" w:type="dxa"/>
            <w:shd w:val="clear" w:color="auto" w:fill="auto"/>
            <w:noWrap/>
            <w:vAlign w:val="bottom"/>
            <w:hideMark/>
          </w:tcPr>
          <w:p w14:paraId="204A7124" w14:textId="77777777" w:rsidR="00CA4D5F" w:rsidRPr="008B2E4F" w:rsidRDefault="00CA4D5F" w:rsidP="00CA4D5F">
            <w:pPr>
              <w:rPr>
                <w:rFonts w:eastAsia="Times New Roman" w:cs="Times New Roman"/>
                <w:color w:val="000000"/>
                <w:szCs w:val="24"/>
              </w:rPr>
            </w:pPr>
          </w:p>
        </w:tc>
      </w:tr>
      <w:tr w:rsidR="00CA4D5F" w:rsidRPr="008B2E4F" w14:paraId="09E10B91" w14:textId="77777777" w:rsidTr="008B2E4F">
        <w:trPr>
          <w:trHeight w:val="287"/>
        </w:trPr>
        <w:tc>
          <w:tcPr>
            <w:tcW w:w="1020" w:type="dxa"/>
            <w:shd w:val="clear" w:color="auto" w:fill="auto"/>
            <w:noWrap/>
            <w:vAlign w:val="bottom"/>
            <w:hideMark/>
          </w:tcPr>
          <w:p w14:paraId="433DBB0E" w14:textId="77777777" w:rsidR="00CA4D5F" w:rsidRPr="008B2E4F" w:rsidRDefault="00CA4D5F" w:rsidP="00CA4D5F">
            <w:pPr>
              <w:rPr>
                <w:rFonts w:eastAsia="Times New Roman" w:cs="Times New Roman"/>
                <w:szCs w:val="24"/>
              </w:rPr>
            </w:pPr>
          </w:p>
        </w:tc>
        <w:tc>
          <w:tcPr>
            <w:tcW w:w="733" w:type="dxa"/>
            <w:shd w:val="clear" w:color="auto" w:fill="auto"/>
            <w:noWrap/>
            <w:vAlign w:val="bottom"/>
            <w:hideMark/>
          </w:tcPr>
          <w:p w14:paraId="323DD976" w14:textId="77777777" w:rsidR="00CA4D5F" w:rsidRPr="008B2E4F" w:rsidRDefault="00CA4D5F" w:rsidP="00CA4D5F">
            <w:pPr>
              <w:rPr>
                <w:rFonts w:eastAsia="Times New Roman" w:cs="Times New Roman"/>
                <w:color w:val="000000"/>
                <w:szCs w:val="24"/>
              </w:rPr>
            </w:pPr>
            <w:r w:rsidRPr="008B2E4F">
              <w:rPr>
                <w:rFonts w:eastAsia="Times New Roman" w:cs="Times New Roman"/>
                <w:color w:val="000000"/>
                <w:szCs w:val="24"/>
              </w:rPr>
              <w:t>Count</w:t>
            </w:r>
          </w:p>
        </w:tc>
        <w:tc>
          <w:tcPr>
            <w:tcW w:w="1527" w:type="dxa"/>
            <w:shd w:val="clear" w:color="auto" w:fill="auto"/>
            <w:noWrap/>
            <w:vAlign w:val="bottom"/>
            <w:hideMark/>
          </w:tcPr>
          <w:p w14:paraId="09CC4163" w14:textId="77777777" w:rsidR="00CA4D5F" w:rsidRPr="008B2E4F" w:rsidRDefault="00CA4D5F" w:rsidP="00CA4D5F">
            <w:pPr>
              <w:rPr>
                <w:rFonts w:eastAsia="Times New Roman" w:cs="Times New Roman"/>
                <w:color w:val="000000"/>
                <w:szCs w:val="24"/>
              </w:rPr>
            </w:pPr>
            <w:r w:rsidRPr="008B2E4F">
              <w:rPr>
                <w:rFonts w:eastAsia="Times New Roman" w:cs="Times New Roman"/>
                <w:color w:val="000000"/>
                <w:szCs w:val="24"/>
              </w:rPr>
              <w:t>% of Religion</w:t>
            </w:r>
          </w:p>
        </w:tc>
        <w:tc>
          <w:tcPr>
            <w:tcW w:w="2080" w:type="dxa"/>
            <w:shd w:val="clear" w:color="auto" w:fill="auto"/>
            <w:noWrap/>
            <w:vAlign w:val="bottom"/>
            <w:hideMark/>
          </w:tcPr>
          <w:p w14:paraId="7BF52B4F" w14:textId="77777777" w:rsidR="00CA4D5F" w:rsidRPr="008B2E4F" w:rsidRDefault="00CA4D5F" w:rsidP="00CA4D5F">
            <w:pPr>
              <w:rPr>
                <w:rFonts w:eastAsia="Times New Roman" w:cs="Times New Roman"/>
                <w:color w:val="000000"/>
                <w:szCs w:val="24"/>
              </w:rPr>
            </w:pPr>
            <w:r w:rsidRPr="008B2E4F">
              <w:rPr>
                <w:rFonts w:eastAsia="Times New Roman" w:cs="Times New Roman"/>
                <w:color w:val="000000"/>
                <w:szCs w:val="24"/>
              </w:rPr>
              <w:t>Count</w:t>
            </w:r>
          </w:p>
        </w:tc>
        <w:tc>
          <w:tcPr>
            <w:tcW w:w="1800" w:type="dxa"/>
            <w:shd w:val="clear" w:color="auto" w:fill="auto"/>
            <w:noWrap/>
            <w:vAlign w:val="bottom"/>
            <w:hideMark/>
          </w:tcPr>
          <w:p w14:paraId="078B6652" w14:textId="77777777" w:rsidR="00CA4D5F" w:rsidRPr="008B2E4F" w:rsidRDefault="00CA4D5F" w:rsidP="00CA4D5F">
            <w:pPr>
              <w:rPr>
                <w:rFonts w:eastAsia="Times New Roman" w:cs="Times New Roman"/>
                <w:color w:val="000000"/>
                <w:szCs w:val="24"/>
              </w:rPr>
            </w:pPr>
            <w:r w:rsidRPr="008B2E4F">
              <w:rPr>
                <w:rFonts w:eastAsia="Times New Roman" w:cs="Times New Roman"/>
                <w:color w:val="000000"/>
                <w:szCs w:val="24"/>
              </w:rPr>
              <w:t>% of Religion</w:t>
            </w:r>
          </w:p>
        </w:tc>
      </w:tr>
      <w:tr w:rsidR="00CA4D5F" w:rsidRPr="008B2E4F" w14:paraId="729B6280" w14:textId="77777777" w:rsidTr="008B2E4F">
        <w:trPr>
          <w:trHeight w:val="287"/>
        </w:trPr>
        <w:tc>
          <w:tcPr>
            <w:tcW w:w="1020" w:type="dxa"/>
            <w:shd w:val="clear" w:color="auto" w:fill="auto"/>
            <w:noWrap/>
            <w:vAlign w:val="bottom"/>
            <w:hideMark/>
          </w:tcPr>
          <w:p w14:paraId="198580DC" w14:textId="77777777" w:rsidR="00CA4D5F" w:rsidRPr="008B2E4F" w:rsidRDefault="00CA4D5F" w:rsidP="00CA4D5F">
            <w:pPr>
              <w:rPr>
                <w:rFonts w:eastAsia="Times New Roman" w:cs="Times New Roman"/>
                <w:color w:val="000000"/>
                <w:szCs w:val="24"/>
              </w:rPr>
            </w:pPr>
            <w:r w:rsidRPr="008B2E4F">
              <w:rPr>
                <w:rFonts w:eastAsia="Times New Roman" w:cs="Times New Roman"/>
                <w:color w:val="000000"/>
                <w:szCs w:val="24"/>
              </w:rPr>
              <w:t>None</w:t>
            </w:r>
          </w:p>
        </w:tc>
        <w:tc>
          <w:tcPr>
            <w:tcW w:w="733" w:type="dxa"/>
            <w:shd w:val="clear" w:color="auto" w:fill="auto"/>
            <w:noWrap/>
            <w:vAlign w:val="bottom"/>
            <w:hideMark/>
          </w:tcPr>
          <w:p w14:paraId="31AD40D4"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251</w:t>
            </w:r>
          </w:p>
        </w:tc>
        <w:tc>
          <w:tcPr>
            <w:tcW w:w="1527" w:type="dxa"/>
            <w:shd w:val="clear" w:color="auto" w:fill="auto"/>
            <w:noWrap/>
            <w:vAlign w:val="bottom"/>
            <w:hideMark/>
          </w:tcPr>
          <w:p w14:paraId="5E9CD4BD"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45.803</w:t>
            </w:r>
          </w:p>
        </w:tc>
        <w:tc>
          <w:tcPr>
            <w:tcW w:w="2080" w:type="dxa"/>
            <w:shd w:val="clear" w:color="auto" w:fill="auto"/>
            <w:noWrap/>
            <w:vAlign w:val="bottom"/>
            <w:hideMark/>
          </w:tcPr>
          <w:p w14:paraId="419A3AB1"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297</w:t>
            </w:r>
          </w:p>
        </w:tc>
        <w:tc>
          <w:tcPr>
            <w:tcW w:w="1800" w:type="dxa"/>
            <w:shd w:val="clear" w:color="auto" w:fill="auto"/>
            <w:noWrap/>
            <w:vAlign w:val="bottom"/>
            <w:hideMark/>
          </w:tcPr>
          <w:p w14:paraId="54CA5E95"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54.197</w:t>
            </w:r>
          </w:p>
        </w:tc>
      </w:tr>
      <w:tr w:rsidR="00CA4D5F" w:rsidRPr="008B2E4F" w14:paraId="16C9596F" w14:textId="77777777" w:rsidTr="008B2E4F">
        <w:trPr>
          <w:trHeight w:val="287"/>
        </w:trPr>
        <w:tc>
          <w:tcPr>
            <w:tcW w:w="1020" w:type="dxa"/>
            <w:shd w:val="clear" w:color="auto" w:fill="auto"/>
            <w:noWrap/>
            <w:vAlign w:val="bottom"/>
            <w:hideMark/>
          </w:tcPr>
          <w:p w14:paraId="4E1EC9AD" w14:textId="77777777" w:rsidR="00CA4D5F" w:rsidRPr="008B2E4F" w:rsidRDefault="00CA4D5F" w:rsidP="00CA4D5F">
            <w:pPr>
              <w:rPr>
                <w:rFonts w:eastAsia="Times New Roman" w:cs="Times New Roman"/>
                <w:color w:val="000000"/>
                <w:szCs w:val="24"/>
              </w:rPr>
            </w:pPr>
            <w:r w:rsidRPr="008B2E4F">
              <w:rPr>
                <w:rFonts w:eastAsia="Times New Roman" w:cs="Times New Roman"/>
                <w:color w:val="000000"/>
                <w:szCs w:val="24"/>
              </w:rPr>
              <w:t>Hindu</w:t>
            </w:r>
          </w:p>
        </w:tc>
        <w:tc>
          <w:tcPr>
            <w:tcW w:w="733" w:type="dxa"/>
            <w:shd w:val="clear" w:color="auto" w:fill="auto"/>
            <w:noWrap/>
            <w:vAlign w:val="bottom"/>
            <w:hideMark/>
          </w:tcPr>
          <w:p w14:paraId="0E2BD162"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18</w:t>
            </w:r>
          </w:p>
        </w:tc>
        <w:tc>
          <w:tcPr>
            <w:tcW w:w="1527" w:type="dxa"/>
            <w:shd w:val="clear" w:color="auto" w:fill="auto"/>
            <w:noWrap/>
            <w:vAlign w:val="bottom"/>
            <w:hideMark/>
          </w:tcPr>
          <w:p w14:paraId="420C66C8"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7.792</w:t>
            </w:r>
          </w:p>
        </w:tc>
        <w:tc>
          <w:tcPr>
            <w:tcW w:w="2080" w:type="dxa"/>
            <w:shd w:val="clear" w:color="auto" w:fill="auto"/>
            <w:noWrap/>
            <w:vAlign w:val="bottom"/>
            <w:hideMark/>
          </w:tcPr>
          <w:p w14:paraId="70CFD9C0"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213</w:t>
            </w:r>
          </w:p>
        </w:tc>
        <w:tc>
          <w:tcPr>
            <w:tcW w:w="1800" w:type="dxa"/>
            <w:shd w:val="clear" w:color="auto" w:fill="auto"/>
            <w:noWrap/>
            <w:vAlign w:val="bottom"/>
            <w:hideMark/>
          </w:tcPr>
          <w:p w14:paraId="70E18572"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92.208</w:t>
            </w:r>
          </w:p>
        </w:tc>
      </w:tr>
      <w:tr w:rsidR="00CA4D5F" w:rsidRPr="008B2E4F" w14:paraId="6B169565" w14:textId="77777777" w:rsidTr="008B2E4F">
        <w:trPr>
          <w:trHeight w:val="287"/>
        </w:trPr>
        <w:tc>
          <w:tcPr>
            <w:tcW w:w="1020" w:type="dxa"/>
            <w:shd w:val="clear" w:color="auto" w:fill="auto"/>
            <w:noWrap/>
            <w:vAlign w:val="bottom"/>
            <w:hideMark/>
          </w:tcPr>
          <w:p w14:paraId="4578A3E8" w14:textId="77777777" w:rsidR="00CA4D5F" w:rsidRPr="008B2E4F" w:rsidRDefault="00CA4D5F" w:rsidP="00CA4D5F">
            <w:pPr>
              <w:rPr>
                <w:rFonts w:eastAsia="Times New Roman" w:cs="Times New Roman"/>
                <w:color w:val="000000"/>
                <w:szCs w:val="24"/>
              </w:rPr>
            </w:pPr>
            <w:r w:rsidRPr="008B2E4F">
              <w:rPr>
                <w:rFonts w:eastAsia="Times New Roman" w:cs="Times New Roman"/>
                <w:color w:val="000000"/>
                <w:szCs w:val="24"/>
              </w:rPr>
              <w:t>Islam</w:t>
            </w:r>
          </w:p>
        </w:tc>
        <w:tc>
          <w:tcPr>
            <w:tcW w:w="733" w:type="dxa"/>
            <w:shd w:val="clear" w:color="auto" w:fill="auto"/>
            <w:noWrap/>
            <w:vAlign w:val="bottom"/>
            <w:hideMark/>
          </w:tcPr>
          <w:p w14:paraId="4034D80B"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1</w:t>
            </w:r>
          </w:p>
        </w:tc>
        <w:tc>
          <w:tcPr>
            <w:tcW w:w="1527" w:type="dxa"/>
            <w:shd w:val="clear" w:color="auto" w:fill="auto"/>
            <w:noWrap/>
            <w:vAlign w:val="bottom"/>
            <w:hideMark/>
          </w:tcPr>
          <w:p w14:paraId="4650F2E4"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4.167</w:t>
            </w:r>
          </w:p>
        </w:tc>
        <w:tc>
          <w:tcPr>
            <w:tcW w:w="2080" w:type="dxa"/>
            <w:shd w:val="clear" w:color="auto" w:fill="auto"/>
            <w:noWrap/>
            <w:vAlign w:val="bottom"/>
            <w:hideMark/>
          </w:tcPr>
          <w:p w14:paraId="2A82E6F3"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23</w:t>
            </w:r>
          </w:p>
        </w:tc>
        <w:tc>
          <w:tcPr>
            <w:tcW w:w="1800" w:type="dxa"/>
            <w:shd w:val="clear" w:color="auto" w:fill="auto"/>
            <w:noWrap/>
            <w:vAlign w:val="bottom"/>
            <w:hideMark/>
          </w:tcPr>
          <w:p w14:paraId="7AE2D51C"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95.833</w:t>
            </w:r>
          </w:p>
        </w:tc>
      </w:tr>
      <w:tr w:rsidR="00CA4D5F" w:rsidRPr="008B2E4F" w14:paraId="1C430DFA" w14:textId="77777777" w:rsidTr="008B2E4F">
        <w:trPr>
          <w:trHeight w:val="287"/>
        </w:trPr>
        <w:tc>
          <w:tcPr>
            <w:tcW w:w="1020" w:type="dxa"/>
            <w:shd w:val="clear" w:color="auto" w:fill="auto"/>
            <w:noWrap/>
            <w:vAlign w:val="bottom"/>
            <w:hideMark/>
          </w:tcPr>
          <w:p w14:paraId="5C6E3834" w14:textId="77777777" w:rsidR="00CA4D5F" w:rsidRPr="008B2E4F" w:rsidRDefault="00CA4D5F" w:rsidP="00CA4D5F">
            <w:pPr>
              <w:rPr>
                <w:rFonts w:eastAsia="Times New Roman" w:cs="Times New Roman"/>
                <w:color w:val="000000"/>
                <w:szCs w:val="24"/>
              </w:rPr>
            </w:pPr>
            <w:r w:rsidRPr="008B2E4F">
              <w:rPr>
                <w:rFonts w:eastAsia="Times New Roman" w:cs="Times New Roman"/>
                <w:color w:val="000000"/>
                <w:szCs w:val="24"/>
              </w:rPr>
              <w:t>Socialist</w:t>
            </w:r>
          </w:p>
        </w:tc>
        <w:tc>
          <w:tcPr>
            <w:tcW w:w="733" w:type="dxa"/>
            <w:shd w:val="clear" w:color="auto" w:fill="auto"/>
            <w:noWrap/>
            <w:vAlign w:val="bottom"/>
            <w:hideMark/>
          </w:tcPr>
          <w:p w14:paraId="0B6F0E1E"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51</w:t>
            </w:r>
          </w:p>
        </w:tc>
        <w:tc>
          <w:tcPr>
            <w:tcW w:w="1527" w:type="dxa"/>
            <w:shd w:val="clear" w:color="auto" w:fill="auto"/>
            <w:noWrap/>
            <w:vAlign w:val="bottom"/>
            <w:hideMark/>
          </w:tcPr>
          <w:p w14:paraId="3E7D459A"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98.077</w:t>
            </w:r>
          </w:p>
        </w:tc>
        <w:tc>
          <w:tcPr>
            <w:tcW w:w="2080" w:type="dxa"/>
            <w:shd w:val="clear" w:color="auto" w:fill="auto"/>
            <w:noWrap/>
            <w:vAlign w:val="bottom"/>
            <w:hideMark/>
          </w:tcPr>
          <w:p w14:paraId="66E40154"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1</w:t>
            </w:r>
          </w:p>
        </w:tc>
        <w:tc>
          <w:tcPr>
            <w:tcW w:w="1800" w:type="dxa"/>
            <w:shd w:val="clear" w:color="auto" w:fill="auto"/>
            <w:noWrap/>
            <w:vAlign w:val="bottom"/>
            <w:hideMark/>
          </w:tcPr>
          <w:p w14:paraId="5413F24B"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1.923</w:t>
            </w:r>
          </w:p>
        </w:tc>
      </w:tr>
      <w:tr w:rsidR="00CA4D5F" w:rsidRPr="008B2E4F" w14:paraId="299F1DF6" w14:textId="77777777" w:rsidTr="008B2E4F">
        <w:trPr>
          <w:trHeight w:val="287"/>
        </w:trPr>
        <w:tc>
          <w:tcPr>
            <w:tcW w:w="1020" w:type="dxa"/>
            <w:shd w:val="clear" w:color="auto" w:fill="auto"/>
            <w:noWrap/>
            <w:vAlign w:val="bottom"/>
            <w:hideMark/>
          </w:tcPr>
          <w:p w14:paraId="537BE46B" w14:textId="77777777" w:rsidR="00CA4D5F" w:rsidRPr="008B2E4F" w:rsidRDefault="00CA4D5F" w:rsidP="00CA4D5F">
            <w:pPr>
              <w:rPr>
                <w:rFonts w:eastAsia="Times New Roman" w:cs="Times New Roman"/>
                <w:color w:val="000000"/>
                <w:szCs w:val="24"/>
              </w:rPr>
            </w:pPr>
            <w:r w:rsidRPr="008B2E4F">
              <w:rPr>
                <w:rFonts w:eastAsia="Times New Roman" w:cs="Times New Roman"/>
                <w:color w:val="000000"/>
                <w:szCs w:val="24"/>
              </w:rPr>
              <w:t>Indigenous</w:t>
            </w:r>
          </w:p>
        </w:tc>
        <w:tc>
          <w:tcPr>
            <w:tcW w:w="733" w:type="dxa"/>
            <w:shd w:val="clear" w:color="auto" w:fill="auto"/>
            <w:noWrap/>
            <w:vAlign w:val="bottom"/>
            <w:hideMark/>
          </w:tcPr>
          <w:p w14:paraId="52F6CA57"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0</w:t>
            </w:r>
          </w:p>
        </w:tc>
        <w:tc>
          <w:tcPr>
            <w:tcW w:w="1527" w:type="dxa"/>
            <w:shd w:val="clear" w:color="auto" w:fill="auto"/>
            <w:noWrap/>
            <w:vAlign w:val="bottom"/>
            <w:hideMark/>
          </w:tcPr>
          <w:p w14:paraId="60BD53E7"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0</w:t>
            </w:r>
          </w:p>
        </w:tc>
        <w:tc>
          <w:tcPr>
            <w:tcW w:w="2080" w:type="dxa"/>
            <w:shd w:val="clear" w:color="auto" w:fill="auto"/>
            <w:noWrap/>
            <w:vAlign w:val="bottom"/>
            <w:hideMark/>
          </w:tcPr>
          <w:p w14:paraId="5A48BF20"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70</w:t>
            </w:r>
          </w:p>
        </w:tc>
        <w:tc>
          <w:tcPr>
            <w:tcW w:w="1800" w:type="dxa"/>
            <w:shd w:val="clear" w:color="auto" w:fill="auto"/>
            <w:noWrap/>
            <w:vAlign w:val="bottom"/>
            <w:hideMark/>
          </w:tcPr>
          <w:p w14:paraId="33D91248" w14:textId="77777777" w:rsidR="00CA4D5F" w:rsidRPr="008B2E4F" w:rsidRDefault="00CA4D5F" w:rsidP="00CA4D5F">
            <w:pPr>
              <w:jc w:val="right"/>
              <w:rPr>
                <w:rFonts w:eastAsia="Times New Roman" w:cs="Times New Roman"/>
                <w:color w:val="000000"/>
                <w:szCs w:val="24"/>
              </w:rPr>
            </w:pPr>
            <w:r w:rsidRPr="008B2E4F">
              <w:rPr>
                <w:rFonts w:eastAsia="Times New Roman" w:cs="Times New Roman"/>
                <w:color w:val="000000"/>
                <w:szCs w:val="24"/>
              </w:rPr>
              <w:t>100</w:t>
            </w:r>
          </w:p>
        </w:tc>
      </w:tr>
    </w:tbl>
    <w:p w14:paraId="14ACB64A" w14:textId="72535C60" w:rsidR="00CA4D5F" w:rsidRDefault="00CA4D5F" w:rsidP="00CA4D5F">
      <w:pPr>
        <w:spacing w:line="480" w:lineRule="auto"/>
      </w:pPr>
    </w:p>
    <w:p w14:paraId="3A4943A2" w14:textId="617D9063" w:rsidR="00E703AE" w:rsidRDefault="00CA4D5F" w:rsidP="00176E7C">
      <w:pPr>
        <w:spacing w:line="480" w:lineRule="auto"/>
      </w:pPr>
      <w:r>
        <w:tab/>
        <w:t>There is a similar variety of membership practices in the sample (Table 2). About half (54 percent) of nonreligious organization-years nevertheless have membership practices, while only 2 percent of socialist organization-years. Nearly all Hindu, Muslim, and indigenous ideology organization-years, by contrast, do feature membership practices.</w:t>
      </w:r>
    </w:p>
    <w:p w14:paraId="3B520932" w14:textId="25F9CF63" w:rsidR="00E703AE" w:rsidRPr="00571EDE" w:rsidRDefault="00E703AE" w:rsidP="00CA4D5F">
      <w:pPr>
        <w:spacing w:line="480" w:lineRule="auto"/>
        <w:rPr>
          <w:b/>
          <w:bCs/>
        </w:rPr>
      </w:pPr>
      <w:r w:rsidRPr="00571EDE">
        <w:rPr>
          <w:b/>
          <w:bCs/>
        </w:rPr>
        <w:t>Table 3: Distribution of Organization-Years by Type of Membership Practice</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08"/>
        <w:gridCol w:w="1240"/>
        <w:gridCol w:w="2080"/>
        <w:gridCol w:w="1800"/>
        <w:gridCol w:w="1108"/>
        <w:gridCol w:w="1340"/>
      </w:tblGrid>
      <w:tr w:rsidR="00E703AE" w:rsidRPr="008B2E4F" w14:paraId="67897EDB" w14:textId="77777777" w:rsidTr="008B2E4F">
        <w:trPr>
          <w:trHeight w:val="287"/>
        </w:trPr>
        <w:tc>
          <w:tcPr>
            <w:tcW w:w="1020" w:type="dxa"/>
            <w:shd w:val="clear" w:color="auto" w:fill="auto"/>
            <w:noWrap/>
            <w:vAlign w:val="bottom"/>
            <w:hideMark/>
          </w:tcPr>
          <w:p w14:paraId="40B69F2F" w14:textId="77777777" w:rsidR="00E703AE" w:rsidRPr="008B2E4F" w:rsidRDefault="00E703AE" w:rsidP="00E703AE">
            <w:pPr>
              <w:rPr>
                <w:rFonts w:asciiTheme="majorBidi" w:eastAsia="Times New Roman" w:hAnsiTheme="majorBidi" w:cstheme="majorBidi"/>
                <w:szCs w:val="20"/>
              </w:rPr>
            </w:pPr>
          </w:p>
        </w:tc>
        <w:tc>
          <w:tcPr>
            <w:tcW w:w="1020" w:type="dxa"/>
            <w:shd w:val="clear" w:color="auto" w:fill="auto"/>
            <w:noWrap/>
            <w:vAlign w:val="bottom"/>
            <w:hideMark/>
          </w:tcPr>
          <w:p w14:paraId="3905A0A5"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Education</w:t>
            </w:r>
          </w:p>
        </w:tc>
        <w:tc>
          <w:tcPr>
            <w:tcW w:w="1240" w:type="dxa"/>
            <w:shd w:val="clear" w:color="auto" w:fill="auto"/>
            <w:noWrap/>
            <w:vAlign w:val="bottom"/>
            <w:hideMark/>
          </w:tcPr>
          <w:p w14:paraId="27F0BA3A"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Services</w:t>
            </w:r>
          </w:p>
        </w:tc>
        <w:tc>
          <w:tcPr>
            <w:tcW w:w="2080" w:type="dxa"/>
            <w:shd w:val="clear" w:color="auto" w:fill="auto"/>
            <w:noWrap/>
            <w:vAlign w:val="bottom"/>
            <w:hideMark/>
          </w:tcPr>
          <w:p w14:paraId="59250634"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Clothing</w:t>
            </w:r>
          </w:p>
        </w:tc>
        <w:tc>
          <w:tcPr>
            <w:tcW w:w="1800" w:type="dxa"/>
            <w:shd w:val="clear" w:color="auto" w:fill="auto"/>
            <w:noWrap/>
            <w:vAlign w:val="bottom"/>
            <w:hideMark/>
          </w:tcPr>
          <w:p w14:paraId="7C6BEF80"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Other Participation</w:t>
            </w:r>
          </w:p>
        </w:tc>
        <w:tc>
          <w:tcPr>
            <w:tcW w:w="940" w:type="dxa"/>
            <w:shd w:val="clear" w:color="auto" w:fill="auto"/>
            <w:noWrap/>
            <w:vAlign w:val="bottom"/>
            <w:hideMark/>
          </w:tcPr>
          <w:p w14:paraId="53CFEFF2"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Economic</w:t>
            </w:r>
          </w:p>
        </w:tc>
        <w:tc>
          <w:tcPr>
            <w:tcW w:w="1340" w:type="dxa"/>
            <w:shd w:val="clear" w:color="auto" w:fill="auto"/>
            <w:noWrap/>
            <w:vAlign w:val="bottom"/>
            <w:hideMark/>
          </w:tcPr>
          <w:p w14:paraId="6B34E6DC"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Social</w:t>
            </w:r>
          </w:p>
        </w:tc>
      </w:tr>
      <w:tr w:rsidR="00E703AE" w:rsidRPr="008B2E4F" w14:paraId="70BF6601" w14:textId="77777777" w:rsidTr="008B2E4F">
        <w:trPr>
          <w:trHeight w:val="287"/>
        </w:trPr>
        <w:tc>
          <w:tcPr>
            <w:tcW w:w="1020" w:type="dxa"/>
            <w:shd w:val="clear" w:color="auto" w:fill="auto"/>
            <w:noWrap/>
            <w:vAlign w:val="bottom"/>
            <w:hideMark/>
          </w:tcPr>
          <w:p w14:paraId="20D477FE"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None</w:t>
            </w:r>
          </w:p>
        </w:tc>
        <w:tc>
          <w:tcPr>
            <w:tcW w:w="1020" w:type="dxa"/>
            <w:shd w:val="clear" w:color="auto" w:fill="auto"/>
            <w:noWrap/>
            <w:vAlign w:val="bottom"/>
            <w:hideMark/>
          </w:tcPr>
          <w:p w14:paraId="120C1C59"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157</w:t>
            </w:r>
          </w:p>
        </w:tc>
        <w:tc>
          <w:tcPr>
            <w:tcW w:w="1240" w:type="dxa"/>
            <w:shd w:val="clear" w:color="auto" w:fill="auto"/>
            <w:noWrap/>
            <w:vAlign w:val="bottom"/>
            <w:hideMark/>
          </w:tcPr>
          <w:p w14:paraId="75A84A56"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5</w:t>
            </w:r>
          </w:p>
        </w:tc>
        <w:tc>
          <w:tcPr>
            <w:tcW w:w="2080" w:type="dxa"/>
            <w:shd w:val="clear" w:color="auto" w:fill="auto"/>
            <w:noWrap/>
            <w:vAlign w:val="bottom"/>
            <w:hideMark/>
          </w:tcPr>
          <w:p w14:paraId="5438B46F"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19</w:t>
            </w:r>
          </w:p>
        </w:tc>
        <w:tc>
          <w:tcPr>
            <w:tcW w:w="1800" w:type="dxa"/>
            <w:shd w:val="clear" w:color="auto" w:fill="auto"/>
            <w:noWrap/>
            <w:vAlign w:val="bottom"/>
            <w:hideMark/>
          </w:tcPr>
          <w:p w14:paraId="1E6EF572"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60</w:t>
            </w:r>
          </w:p>
        </w:tc>
        <w:tc>
          <w:tcPr>
            <w:tcW w:w="940" w:type="dxa"/>
            <w:shd w:val="clear" w:color="auto" w:fill="auto"/>
            <w:noWrap/>
            <w:vAlign w:val="bottom"/>
            <w:hideMark/>
          </w:tcPr>
          <w:p w14:paraId="21CAD834"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6</w:t>
            </w:r>
          </w:p>
        </w:tc>
        <w:tc>
          <w:tcPr>
            <w:tcW w:w="1340" w:type="dxa"/>
            <w:shd w:val="clear" w:color="auto" w:fill="auto"/>
            <w:noWrap/>
            <w:vAlign w:val="bottom"/>
            <w:hideMark/>
          </w:tcPr>
          <w:p w14:paraId="7DD508CC"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195</w:t>
            </w:r>
          </w:p>
        </w:tc>
      </w:tr>
      <w:tr w:rsidR="00E703AE" w:rsidRPr="008B2E4F" w14:paraId="149DF097" w14:textId="77777777" w:rsidTr="008B2E4F">
        <w:trPr>
          <w:trHeight w:val="287"/>
        </w:trPr>
        <w:tc>
          <w:tcPr>
            <w:tcW w:w="1020" w:type="dxa"/>
            <w:shd w:val="clear" w:color="auto" w:fill="auto"/>
            <w:noWrap/>
            <w:vAlign w:val="bottom"/>
            <w:hideMark/>
          </w:tcPr>
          <w:p w14:paraId="79B923C7"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Hindu</w:t>
            </w:r>
          </w:p>
        </w:tc>
        <w:tc>
          <w:tcPr>
            <w:tcW w:w="1020" w:type="dxa"/>
            <w:shd w:val="clear" w:color="auto" w:fill="auto"/>
            <w:noWrap/>
            <w:vAlign w:val="bottom"/>
            <w:hideMark/>
          </w:tcPr>
          <w:p w14:paraId="4E9E8D64"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133</w:t>
            </w:r>
          </w:p>
        </w:tc>
        <w:tc>
          <w:tcPr>
            <w:tcW w:w="1240" w:type="dxa"/>
            <w:shd w:val="clear" w:color="auto" w:fill="auto"/>
            <w:noWrap/>
            <w:vAlign w:val="bottom"/>
            <w:hideMark/>
          </w:tcPr>
          <w:p w14:paraId="33A31829"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175</w:t>
            </w:r>
          </w:p>
        </w:tc>
        <w:tc>
          <w:tcPr>
            <w:tcW w:w="2080" w:type="dxa"/>
            <w:shd w:val="clear" w:color="auto" w:fill="auto"/>
            <w:noWrap/>
            <w:vAlign w:val="bottom"/>
            <w:hideMark/>
          </w:tcPr>
          <w:p w14:paraId="12E2A6C7"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112</w:t>
            </w:r>
          </w:p>
        </w:tc>
        <w:tc>
          <w:tcPr>
            <w:tcW w:w="1800" w:type="dxa"/>
            <w:shd w:val="clear" w:color="auto" w:fill="auto"/>
            <w:noWrap/>
            <w:vAlign w:val="bottom"/>
            <w:hideMark/>
          </w:tcPr>
          <w:p w14:paraId="1C24D785"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161</w:t>
            </w:r>
          </w:p>
        </w:tc>
        <w:tc>
          <w:tcPr>
            <w:tcW w:w="940" w:type="dxa"/>
            <w:shd w:val="clear" w:color="auto" w:fill="auto"/>
            <w:noWrap/>
            <w:vAlign w:val="bottom"/>
            <w:hideMark/>
          </w:tcPr>
          <w:p w14:paraId="4C6CB7C6"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121</w:t>
            </w:r>
          </w:p>
        </w:tc>
        <w:tc>
          <w:tcPr>
            <w:tcW w:w="1340" w:type="dxa"/>
            <w:shd w:val="clear" w:color="auto" w:fill="auto"/>
            <w:noWrap/>
            <w:vAlign w:val="bottom"/>
            <w:hideMark/>
          </w:tcPr>
          <w:p w14:paraId="01D2F216"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179</w:t>
            </w:r>
          </w:p>
        </w:tc>
      </w:tr>
      <w:tr w:rsidR="00E703AE" w:rsidRPr="008B2E4F" w14:paraId="796B8F1A" w14:textId="77777777" w:rsidTr="008B2E4F">
        <w:trPr>
          <w:trHeight w:val="287"/>
        </w:trPr>
        <w:tc>
          <w:tcPr>
            <w:tcW w:w="1020" w:type="dxa"/>
            <w:shd w:val="clear" w:color="auto" w:fill="auto"/>
            <w:noWrap/>
            <w:vAlign w:val="bottom"/>
            <w:hideMark/>
          </w:tcPr>
          <w:p w14:paraId="0A2385FC"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Islam</w:t>
            </w:r>
          </w:p>
        </w:tc>
        <w:tc>
          <w:tcPr>
            <w:tcW w:w="1020" w:type="dxa"/>
            <w:shd w:val="clear" w:color="auto" w:fill="auto"/>
            <w:noWrap/>
            <w:vAlign w:val="bottom"/>
            <w:hideMark/>
          </w:tcPr>
          <w:p w14:paraId="0FD7D6B6"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1240" w:type="dxa"/>
            <w:shd w:val="clear" w:color="auto" w:fill="auto"/>
            <w:noWrap/>
            <w:vAlign w:val="bottom"/>
            <w:hideMark/>
          </w:tcPr>
          <w:p w14:paraId="6654C680"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2080" w:type="dxa"/>
            <w:shd w:val="clear" w:color="auto" w:fill="auto"/>
            <w:noWrap/>
            <w:vAlign w:val="bottom"/>
            <w:hideMark/>
          </w:tcPr>
          <w:p w14:paraId="5D501A27"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1800" w:type="dxa"/>
            <w:shd w:val="clear" w:color="auto" w:fill="auto"/>
            <w:noWrap/>
            <w:vAlign w:val="bottom"/>
            <w:hideMark/>
          </w:tcPr>
          <w:p w14:paraId="65083B75"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940" w:type="dxa"/>
            <w:shd w:val="clear" w:color="auto" w:fill="auto"/>
            <w:noWrap/>
            <w:vAlign w:val="bottom"/>
            <w:hideMark/>
          </w:tcPr>
          <w:p w14:paraId="07DDE9EC"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23</w:t>
            </w:r>
          </w:p>
        </w:tc>
        <w:tc>
          <w:tcPr>
            <w:tcW w:w="1340" w:type="dxa"/>
            <w:shd w:val="clear" w:color="auto" w:fill="auto"/>
            <w:noWrap/>
            <w:vAlign w:val="bottom"/>
            <w:hideMark/>
          </w:tcPr>
          <w:p w14:paraId="6763C438"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23</w:t>
            </w:r>
          </w:p>
        </w:tc>
      </w:tr>
      <w:tr w:rsidR="00E703AE" w:rsidRPr="008B2E4F" w14:paraId="15AB0A27" w14:textId="77777777" w:rsidTr="008B2E4F">
        <w:trPr>
          <w:trHeight w:val="287"/>
        </w:trPr>
        <w:tc>
          <w:tcPr>
            <w:tcW w:w="1020" w:type="dxa"/>
            <w:shd w:val="clear" w:color="auto" w:fill="auto"/>
            <w:noWrap/>
            <w:vAlign w:val="bottom"/>
            <w:hideMark/>
          </w:tcPr>
          <w:p w14:paraId="2E5DD4D4"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Socialist</w:t>
            </w:r>
          </w:p>
        </w:tc>
        <w:tc>
          <w:tcPr>
            <w:tcW w:w="1020" w:type="dxa"/>
            <w:shd w:val="clear" w:color="auto" w:fill="auto"/>
            <w:noWrap/>
            <w:vAlign w:val="bottom"/>
            <w:hideMark/>
          </w:tcPr>
          <w:p w14:paraId="60BA9092"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1240" w:type="dxa"/>
            <w:shd w:val="clear" w:color="auto" w:fill="auto"/>
            <w:noWrap/>
            <w:vAlign w:val="bottom"/>
            <w:hideMark/>
          </w:tcPr>
          <w:p w14:paraId="70491CC9"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2080" w:type="dxa"/>
            <w:shd w:val="clear" w:color="auto" w:fill="auto"/>
            <w:noWrap/>
            <w:vAlign w:val="bottom"/>
            <w:hideMark/>
          </w:tcPr>
          <w:p w14:paraId="3FE22C80"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w:t>
            </w:r>
          </w:p>
        </w:tc>
        <w:tc>
          <w:tcPr>
            <w:tcW w:w="1800" w:type="dxa"/>
            <w:shd w:val="clear" w:color="auto" w:fill="auto"/>
            <w:noWrap/>
            <w:vAlign w:val="bottom"/>
            <w:hideMark/>
          </w:tcPr>
          <w:p w14:paraId="62D2107A"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940" w:type="dxa"/>
            <w:shd w:val="clear" w:color="auto" w:fill="auto"/>
            <w:noWrap/>
            <w:vAlign w:val="bottom"/>
            <w:hideMark/>
          </w:tcPr>
          <w:p w14:paraId="2FCEFA54"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1340" w:type="dxa"/>
            <w:shd w:val="clear" w:color="auto" w:fill="auto"/>
            <w:noWrap/>
            <w:vAlign w:val="bottom"/>
            <w:hideMark/>
          </w:tcPr>
          <w:p w14:paraId="32663279"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w:t>
            </w:r>
          </w:p>
        </w:tc>
      </w:tr>
      <w:tr w:rsidR="00E703AE" w:rsidRPr="008B2E4F" w14:paraId="3A8395E5" w14:textId="77777777" w:rsidTr="008B2E4F">
        <w:trPr>
          <w:trHeight w:val="287"/>
        </w:trPr>
        <w:tc>
          <w:tcPr>
            <w:tcW w:w="1020" w:type="dxa"/>
            <w:shd w:val="clear" w:color="auto" w:fill="auto"/>
            <w:noWrap/>
            <w:vAlign w:val="bottom"/>
            <w:hideMark/>
          </w:tcPr>
          <w:p w14:paraId="5DB12480"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Indigenous</w:t>
            </w:r>
          </w:p>
        </w:tc>
        <w:tc>
          <w:tcPr>
            <w:tcW w:w="1020" w:type="dxa"/>
            <w:shd w:val="clear" w:color="auto" w:fill="auto"/>
            <w:noWrap/>
            <w:vAlign w:val="bottom"/>
            <w:hideMark/>
          </w:tcPr>
          <w:p w14:paraId="6FD23463"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70</w:t>
            </w:r>
          </w:p>
        </w:tc>
        <w:tc>
          <w:tcPr>
            <w:tcW w:w="1240" w:type="dxa"/>
            <w:shd w:val="clear" w:color="auto" w:fill="auto"/>
            <w:noWrap/>
            <w:vAlign w:val="bottom"/>
            <w:hideMark/>
          </w:tcPr>
          <w:p w14:paraId="6E30BDC3"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2080" w:type="dxa"/>
            <w:shd w:val="clear" w:color="auto" w:fill="auto"/>
            <w:noWrap/>
            <w:vAlign w:val="bottom"/>
            <w:hideMark/>
          </w:tcPr>
          <w:p w14:paraId="5EECCF29"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1800" w:type="dxa"/>
            <w:shd w:val="clear" w:color="auto" w:fill="auto"/>
            <w:noWrap/>
            <w:vAlign w:val="bottom"/>
            <w:hideMark/>
          </w:tcPr>
          <w:p w14:paraId="3DD43255"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940" w:type="dxa"/>
            <w:shd w:val="clear" w:color="auto" w:fill="auto"/>
            <w:noWrap/>
            <w:vAlign w:val="bottom"/>
            <w:hideMark/>
          </w:tcPr>
          <w:p w14:paraId="109BC9F0"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c>
          <w:tcPr>
            <w:tcW w:w="1340" w:type="dxa"/>
            <w:shd w:val="clear" w:color="auto" w:fill="auto"/>
            <w:noWrap/>
            <w:vAlign w:val="bottom"/>
            <w:hideMark/>
          </w:tcPr>
          <w:p w14:paraId="439EB49C"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0</w:t>
            </w:r>
          </w:p>
        </w:tc>
      </w:tr>
      <w:tr w:rsidR="00E703AE" w:rsidRPr="008B2E4F" w14:paraId="4F5FC20F" w14:textId="77777777" w:rsidTr="008B2E4F">
        <w:trPr>
          <w:trHeight w:val="287"/>
        </w:trPr>
        <w:tc>
          <w:tcPr>
            <w:tcW w:w="1020" w:type="dxa"/>
            <w:shd w:val="clear" w:color="auto" w:fill="auto"/>
            <w:noWrap/>
            <w:vAlign w:val="bottom"/>
            <w:hideMark/>
          </w:tcPr>
          <w:p w14:paraId="651A4822" w14:textId="77777777" w:rsidR="00E703AE" w:rsidRPr="008B2E4F" w:rsidRDefault="00E703AE" w:rsidP="00E703AE">
            <w:pPr>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Total</w:t>
            </w:r>
          </w:p>
        </w:tc>
        <w:tc>
          <w:tcPr>
            <w:tcW w:w="1020" w:type="dxa"/>
            <w:shd w:val="clear" w:color="auto" w:fill="auto"/>
            <w:noWrap/>
            <w:vAlign w:val="bottom"/>
            <w:hideMark/>
          </w:tcPr>
          <w:p w14:paraId="3C4E274E"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360</w:t>
            </w:r>
          </w:p>
        </w:tc>
        <w:tc>
          <w:tcPr>
            <w:tcW w:w="1240" w:type="dxa"/>
            <w:shd w:val="clear" w:color="auto" w:fill="auto"/>
            <w:noWrap/>
            <w:vAlign w:val="bottom"/>
            <w:hideMark/>
          </w:tcPr>
          <w:p w14:paraId="1D46A4D8"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180</w:t>
            </w:r>
          </w:p>
        </w:tc>
        <w:tc>
          <w:tcPr>
            <w:tcW w:w="2080" w:type="dxa"/>
            <w:shd w:val="clear" w:color="auto" w:fill="auto"/>
            <w:noWrap/>
            <w:vAlign w:val="bottom"/>
            <w:hideMark/>
          </w:tcPr>
          <w:p w14:paraId="3A2EAD37"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132</w:t>
            </w:r>
          </w:p>
        </w:tc>
        <w:tc>
          <w:tcPr>
            <w:tcW w:w="1800" w:type="dxa"/>
            <w:shd w:val="clear" w:color="auto" w:fill="auto"/>
            <w:noWrap/>
            <w:vAlign w:val="bottom"/>
            <w:hideMark/>
          </w:tcPr>
          <w:p w14:paraId="2BB7DA0B"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221</w:t>
            </w:r>
          </w:p>
        </w:tc>
        <w:tc>
          <w:tcPr>
            <w:tcW w:w="940" w:type="dxa"/>
            <w:shd w:val="clear" w:color="auto" w:fill="auto"/>
            <w:noWrap/>
            <w:vAlign w:val="bottom"/>
            <w:hideMark/>
          </w:tcPr>
          <w:p w14:paraId="4734A147"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150</w:t>
            </w:r>
          </w:p>
        </w:tc>
        <w:tc>
          <w:tcPr>
            <w:tcW w:w="1340" w:type="dxa"/>
            <w:shd w:val="clear" w:color="auto" w:fill="auto"/>
            <w:noWrap/>
            <w:vAlign w:val="bottom"/>
            <w:hideMark/>
          </w:tcPr>
          <w:p w14:paraId="491BECFF" w14:textId="77777777" w:rsidR="00E703AE" w:rsidRPr="008B2E4F" w:rsidRDefault="00E703AE" w:rsidP="00E703AE">
            <w:pPr>
              <w:jc w:val="right"/>
              <w:rPr>
                <w:rFonts w:asciiTheme="majorBidi" w:eastAsia="Times New Roman" w:hAnsiTheme="majorBidi" w:cstheme="majorBidi"/>
                <w:color w:val="000000"/>
                <w:sz w:val="22"/>
              </w:rPr>
            </w:pPr>
            <w:r w:rsidRPr="008B2E4F">
              <w:rPr>
                <w:rFonts w:asciiTheme="majorBidi" w:eastAsia="Times New Roman" w:hAnsiTheme="majorBidi" w:cstheme="majorBidi"/>
                <w:color w:val="000000"/>
                <w:sz w:val="22"/>
              </w:rPr>
              <w:t>398</w:t>
            </w:r>
          </w:p>
        </w:tc>
      </w:tr>
    </w:tbl>
    <w:p w14:paraId="7021D8A0" w14:textId="2B29817A" w:rsidR="00E703AE" w:rsidRDefault="00E703AE" w:rsidP="00CA4D5F">
      <w:pPr>
        <w:spacing w:line="480" w:lineRule="auto"/>
      </w:pPr>
    </w:p>
    <w:p w14:paraId="185200A2" w14:textId="4BDA2D65" w:rsidR="008B2E4F" w:rsidRDefault="00176E7C" w:rsidP="008B2E4F">
      <w:pPr>
        <w:spacing w:line="480" w:lineRule="auto"/>
      </w:pPr>
      <w:r>
        <w:tab/>
        <w:t>The membership practices in the sample include all of the six categories described above</w:t>
      </w:r>
      <w:r w:rsidR="00B40F60">
        <w:t xml:space="preserve"> (Table 3)</w:t>
      </w:r>
      <w:r>
        <w:t>. Organization-years with religion-like ideologies are less likely to feature membership practices, but there are many nonreligious organization-years which feature them, particularly in education and social standards of behavior. The Hindu organization-years in the sample include many membership practices, but the Muslim ones primarily feature economic and social standards</w:t>
      </w:r>
      <w:r w:rsidR="00C15735">
        <w:t xml:space="preserve"> rather than clothing restrictions or requirements to provide social services or study particular forms of thought</w:t>
      </w:r>
      <w:r>
        <w:t>.</w:t>
      </w:r>
    </w:p>
    <w:p w14:paraId="0BB03E14" w14:textId="44C1E6C8" w:rsidR="00291972" w:rsidRPr="00571EDE" w:rsidRDefault="00291972">
      <w:pPr>
        <w:spacing w:line="480" w:lineRule="auto"/>
        <w:rPr>
          <w:b/>
          <w:bCs/>
        </w:rPr>
      </w:pPr>
      <w:r w:rsidRPr="00571EDE">
        <w:rPr>
          <w:b/>
          <w:bCs/>
        </w:rPr>
        <w:lastRenderedPageBreak/>
        <w:t xml:space="preserve">Table </w:t>
      </w:r>
      <w:r w:rsidR="00B40F60" w:rsidRPr="00571EDE">
        <w:rPr>
          <w:b/>
          <w:bCs/>
        </w:rPr>
        <w:t>4</w:t>
      </w:r>
      <w:r w:rsidRPr="00571EDE">
        <w:rPr>
          <w:b/>
          <w:bCs/>
        </w:rPr>
        <w:t xml:space="preserve">: </w:t>
      </w:r>
      <w:r w:rsidR="00B40F60" w:rsidRPr="00571EDE">
        <w:rPr>
          <w:b/>
          <w:bCs/>
        </w:rPr>
        <w:t>Distribution of Country-Years by Decade</w:t>
      </w:r>
    </w:p>
    <w:tbl>
      <w:tblPr>
        <w:tblStyle w:val="TableGrid"/>
        <w:tblW w:w="9586" w:type="dxa"/>
        <w:tblLook w:val="04A0" w:firstRow="1" w:lastRow="0" w:firstColumn="1" w:lastColumn="0" w:noHBand="0" w:noVBand="1"/>
      </w:tblPr>
      <w:tblGrid>
        <w:gridCol w:w="798"/>
        <w:gridCol w:w="795"/>
        <w:gridCol w:w="927"/>
        <w:gridCol w:w="795"/>
        <w:gridCol w:w="927"/>
        <w:gridCol w:w="795"/>
        <w:gridCol w:w="929"/>
        <w:gridCol w:w="795"/>
        <w:gridCol w:w="927"/>
        <w:gridCol w:w="795"/>
        <w:gridCol w:w="1103"/>
      </w:tblGrid>
      <w:tr w:rsidR="00291972" w:rsidRPr="005B355C" w14:paraId="0305DD57" w14:textId="77777777" w:rsidTr="00757959">
        <w:trPr>
          <w:trHeight w:val="287"/>
        </w:trPr>
        <w:tc>
          <w:tcPr>
            <w:tcW w:w="798" w:type="dxa"/>
            <w:noWrap/>
            <w:hideMark/>
          </w:tcPr>
          <w:p w14:paraId="09A909AA" w14:textId="77777777" w:rsidR="00291972" w:rsidRPr="005B355C" w:rsidRDefault="00291972" w:rsidP="00757959">
            <w:pPr>
              <w:widowControl w:val="0"/>
            </w:pPr>
          </w:p>
        </w:tc>
        <w:tc>
          <w:tcPr>
            <w:tcW w:w="1722" w:type="dxa"/>
            <w:gridSpan w:val="2"/>
            <w:noWrap/>
            <w:hideMark/>
          </w:tcPr>
          <w:p w14:paraId="34E48005" w14:textId="77777777" w:rsidR="00291972" w:rsidRPr="005B355C" w:rsidRDefault="00291972" w:rsidP="00757959">
            <w:r w:rsidRPr="005B355C">
              <w:t>None</w:t>
            </w:r>
          </w:p>
        </w:tc>
        <w:tc>
          <w:tcPr>
            <w:tcW w:w="1722" w:type="dxa"/>
            <w:gridSpan w:val="2"/>
            <w:noWrap/>
            <w:hideMark/>
          </w:tcPr>
          <w:p w14:paraId="3D1021AC" w14:textId="77777777" w:rsidR="00291972" w:rsidRPr="005B355C" w:rsidRDefault="00291972" w:rsidP="00757959">
            <w:r w:rsidRPr="005B355C">
              <w:t>Hindu</w:t>
            </w:r>
          </w:p>
        </w:tc>
        <w:tc>
          <w:tcPr>
            <w:tcW w:w="1724" w:type="dxa"/>
            <w:gridSpan w:val="2"/>
            <w:noWrap/>
            <w:hideMark/>
          </w:tcPr>
          <w:p w14:paraId="2EE8A5DE" w14:textId="77777777" w:rsidR="00291972" w:rsidRPr="005B355C" w:rsidRDefault="00291972" w:rsidP="00757959">
            <w:r w:rsidRPr="005B355C">
              <w:t>Islam</w:t>
            </w:r>
          </w:p>
        </w:tc>
        <w:tc>
          <w:tcPr>
            <w:tcW w:w="1722" w:type="dxa"/>
            <w:gridSpan w:val="2"/>
            <w:noWrap/>
            <w:hideMark/>
          </w:tcPr>
          <w:p w14:paraId="2E2FFC15" w14:textId="77777777" w:rsidR="00291972" w:rsidRPr="005B355C" w:rsidRDefault="00291972" w:rsidP="00757959">
            <w:r w:rsidRPr="005B355C">
              <w:t>Socialist</w:t>
            </w:r>
          </w:p>
        </w:tc>
        <w:tc>
          <w:tcPr>
            <w:tcW w:w="1898" w:type="dxa"/>
            <w:gridSpan w:val="2"/>
            <w:noWrap/>
            <w:hideMark/>
          </w:tcPr>
          <w:p w14:paraId="01E68195" w14:textId="77777777" w:rsidR="00291972" w:rsidRPr="005B355C" w:rsidRDefault="00291972" w:rsidP="00757959">
            <w:r w:rsidRPr="005B355C">
              <w:t>Indigenous</w:t>
            </w:r>
          </w:p>
        </w:tc>
      </w:tr>
      <w:tr w:rsidR="00291972" w:rsidRPr="005B355C" w14:paraId="66EB0089" w14:textId="77777777" w:rsidTr="00757959">
        <w:trPr>
          <w:trHeight w:val="287"/>
        </w:trPr>
        <w:tc>
          <w:tcPr>
            <w:tcW w:w="798" w:type="dxa"/>
            <w:noWrap/>
            <w:hideMark/>
          </w:tcPr>
          <w:p w14:paraId="13090C88" w14:textId="77777777" w:rsidR="00291972" w:rsidRPr="005B355C" w:rsidRDefault="00291972" w:rsidP="00757959">
            <w:pPr>
              <w:rPr>
                <w:sz w:val="20"/>
                <w:szCs w:val="20"/>
              </w:rPr>
            </w:pPr>
          </w:p>
        </w:tc>
        <w:tc>
          <w:tcPr>
            <w:tcW w:w="795" w:type="dxa"/>
            <w:noWrap/>
            <w:hideMark/>
          </w:tcPr>
          <w:p w14:paraId="5D32712D" w14:textId="77777777" w:rsidR="00291972" w:rsidRPr="005B355C" w:rsidRDefault="00291972" w:rsidP="00757959">
            <w:pPr>
              <w:rPr>
                <w:sz w:val="20"/>
                <w:szCs w:val="20"/>
              </w:rPr>
            </w:pPr>
            <w:r w:rsidRPr="005B355C">
              <w:rPr>
                <w:sz w:val="20"/>
                <w:szCs w:val="20"/>
              </w:rPr>
              <w:t>Count</w:t>
            </w:r>
          </w:p>
        </w:tc>
        <w:tc>
          <w:tcPr>
            <w:tcW w:w="927" w:type="dxa"/>
            <w:noWrap/>
            <w:hideMark/>
          </w:tcPr>
          <w:p w14:paraId="732CB144" w14:textId="77777777" w:rsidR="00291972" w:rsidRPr="005B355C" w:rsidRDefault="00291972" w:rsidP="00757959">
            <w:pPr>
              <w:rPr>
                <w:sz w:val="20"/>
                <w:szCs w:val="20"/>
              </w:rPr>
            </w:pPr>
            <w:r w:rsidRPr="005B355C">
              <w:rPr>
                <w:sz w:val="20"/>
                <w:szCs w:val="20"/>
              </w:rPr>
              <w:t>% of Decade</w:t>
            </w:r>
          </w:p>
        </w:tc>
        <w:tc>
          <w:tcPr>
            <w:tcW w:w="795" w:type="dxa"/>
            <w:noWrap/>
            <w:hideMark/>
          </w:tcPr>
          <w:p w14:paraId="1499773D" w14:textId="77777777" w:rsidR="00291972" w:rsidRPr="005B355C" w:rsidRDefault="00291972" w:rsidP="00757959">
            <w:pPr>
              <w:rPr>
                <w:sz w:val="20"/>
                <w:szCs w:val="20"/>
              </w:rPr>
            </w:pPr>
            <w:r w:rsidRPr="005B355C">
              <w:rPr>
                <w:sz w:val="20"/>
                <w:szCs w:val="20"/>
              </w:rPr>
              <w:t>Count</w:t>
            </w:r>
          </w:p>
        </w:tc>
        <w:tc>
          <w:tcPr>
            <w:tcW w:w="927" w:type="dxa"/>
            <w:noWrap/>
            <w:hideMark/>
          </w:tcPr>
          <w:p w14:paraId="5E802A9D" w14:textId="77777777" w:rsidR="00291972" w:rsidRPr="005B355C" w:rsidRDefault="00291972" w:rsidP="00757959">
            <w:pPr>
              <w:rPr>
                <w:sz w:val="20"/>
                <w:szCs w:val="20"/>
              </w:rPr>
            </w:pPr>
            <w:r w:rsidRPr="005B355C">
              <w:rPr>
                <w:sz w:val="20"/>
                <w:szCs w:val="20"/>
              </w:rPr>
              <w:t>% of Decade</w:t>
            </w:r>
          </w:p>
        </w:tc>
        <w:tc>
          <w:tcPr>
            <w:tcW w:w="795" w:type="dxa"/>
            <w:noWrap/>
            <w:hideMark/>
          </w:tcPr>
          <w:p w14:paraId="75EF9F80" w14:textId="77777777" w:rsidR="00291972" w:rsidRPr="005B355C" w:rsidRDefault="00291972" w:rsidP="00757959">
            <w:pPr>
              <w:rPr>
                <w:sz w:val="20"/>
                <w:szCs w:val="20"/>
              </w:rPr>
            </w:pPr>
            <w:r w:rsidRPr="005B355C">
              <w:rPr>
                <w:sz w:val="20"/>
                <w:szCs w:val="20"/>
              </w:rPr>
              <w:t>Count</w:t>
            </w:r>
          </w:p>
        </w:tc>
        <w:tc>
          <w:tcPr>
            <w:tcW w:w="929" w:type="dxa"/>
            <w:noWrap/>
            <w:hideMark/>
          </w:tcPr>
          <w:p w14:paraId="04C6E2DF" w14:textId="77777777" w:rsidR="00291972" w:rsidRPr="005B355C" w:rsidRDefault="00291972" w:rsidP="00757959">
            <w:pPr>
              <w:rPr>
                <w:sz w:val="20"/>
                <w:szCs w:val="20"/>
              </w:rPr>
            </w:pPr>
            <w:r w:rsidRPr="005B355C">
              <w:rPr>
                <w:sz w:val="20"/>
                <w:szCs w:val="20"/>
              </w:rPr>
              <w:t>% of Decade</w:t>
            </w:r>
          </w:p>
        </w:tc>
        <w:tc>
          <w:tcPr>
            <w:tcW w:w="795" w:type="dxa"/>
            <w:noWrap/>
            <w:hideMark/>
          </w:tcPr>
          <w:p w14:paraId="5CFA31BE" w14:textId="77777777" w:rsidR="00291972" w:rsidRPr="005B355C" w:rsidRDefault="00291972" w:rsidP="00757959">
            <w:pPr>
              <w:rPr>
                <w:sz w:val="20"/>
                <w:szCs w:val="20"/>
              </w:rPr>
            </w:pPr>
            <w:r w:rsidRPr="005B355C">
              <w:rPr>
                <w:sz w:val="20"/>
                <w:szCs w:val="20"/>
              </w:rPr>
              <w:t>Count</w:t>
            </w:r>
          </w:p>
        </w:tc>
        <w:tc>
          <w:tcPr>
            <w:tcW w:w="927" w:type="dxa"/>
            <w:noWrap/>
            <w:hideMark/>
          </w:tcPr>
          <w:p w14:paraId="055330BA" w14:textId="77777777" w:rsidR="00291972" w:rsidRPr="005B355C" w:rsidRDefault="00291972" w:rsidP="00757959">
            <w:pPr>
              <w:rPr>
                <w:sz w:val="20"/>
                <w:szCs w:val="20"/>
              </w:rPr>
            </w:pPr>
            <w:r w:rsidRPr="005B355C">
              <w:rPr>
                <w:sz w:val="20"/>
                <w:szCs w:val="20"/>
              </w:rPr>
              <w:t>% of Decade</w:t>
            </w:r>
          </w:p>
        </w:tc>
        <w:tc>
          <w:tcPr>
            <w:tcW w:w="795" w:type="dxa"/>
            <w:noWrap/>
            <w:hideMark/>
          </w:tcPr>
          <w:p w14:paraId="6380F5DB" w14:textId="77777777" w:rsidR="00291972" w:rsidRPr="005B355C" w:rsidRDefault="00291972" w:rsidP="00757959">
            <w:pPr>
              <w:rPr>
                <w:sz w:val="20"/>
                <w:szCs w:val="20"/>
              </w:rPr>
            </w:pPr>
            <w:r w:rsidRPr="005B355C">
              <w:rPr>
                <w:sz w:val="20"/>
                <w:szCs w:val="20"/>
              </w:rPr>
              <w:t>Count</w:t>
            </w:r>
          </w:p>
        </w:tc>
        <w:tc>
          <w:tcPr>
            <w:tcW w:w="1103" w:type="dxa"/>
            <w:noWrap/>
            <w:hideMark/>
          </w:tcPr>
          <w:p w14:paraId="6564CBCA" w14:textId="77777777" w:rsidR="00291972" w:rsidRPr="005B355C" w:rsidRDefault="00291972" w:rsidP="00757959">
            <w:pPr>
              <w:rPr>
                <w:sz w:val="20"/>
                <w:szCs w:val="20"/>
              </w:rPr>
            </w:pPr>
            <w:r w:rsidRPr="005B355C">
              <w:rPr>
                <w:sz w:val="20"/>
                <w:szCs w:val="20"/>
              </w:rPr>
              <w:t>% of Decade</w:t>
            </w:r>
          </w:p>
        </w:tc>
      </w:tr>
      <w:tr w:rsidR="00291972" w:rsidRPr="005B355C" w14:paraId="374606B8" w14:textId="77777777" w:rsidTr="00757959">
        <w:trPr>
          <w:trHeight w:val="287"/>
        </w:trPr>
        <w:tc>
          <w:tcPr>
            <w:tcW w:w="798" w:type="dxa"/>
            <w:noWrap/>
            <w:hideMark/>
          </w:tcPr>
          <w:p w14:paraId="60808725" w14:textId="77777777" w:rsidR="00291972" w:rsidRPr="005B355C" w:rsidRDefault="00291972" w:rsidP="00757959">
            <w:r w:rsidRPr="005B355C">
              <w:t>1960s</w:t>
            </w:r>
          </w:p>
        </w:tc>
        <w:tc>
          <w:tcPr>
            <w:tcW w:w="795" w:type="dxa"/>
            <w:noWrap/>
            <w:hideMark/>
          </w:tcPr>
          <w:p w14:paraId="3DCD8E8D" w14:textId="77777777" w:rsidR="00291972" w:rsidRPr="005B355C" w:rsidRDefault="00291972" w:rsidP="00757959">
            <w:r w:rsidRPr="005B355C">
              <w:t>23</w:t>
            </w:r>
          </w:p>
        </w:tc>
        <w:tc>
          <w:tcPr>
            <w:tcW w:w="927" w:type="dxa"/>
            <w:noWrap/>
            <w:hideMark/>
          </w:tcPr>
          <w:p w14:paraId="11E29795" w14:textId="77777777" w:rsidR="00291972" w:rsidRPr="005B355C" w:rsidRDefault="00291972" w:rsidP="00757959">
            <w:r w:rsidRPr="005B355C">
              <w:t>50</w:t>
            </w:r>
          </w:p>
        </w:tc>
        <w:tc>
          <w:tcPr>
            <w:tcW w:w="795" w:type="dxa"/>
            <w:noWrap/>
            <w:hideMark/>
          </w:tcPr>
          <w:p w14:paraId="3CDDF93C" w14:textId="77777777" w:rsidR="00291972" w:rsidRPr="005B355C" w:rsidRDefault="00291972" w:rsidP="00757959">
            <w:r w:rsidRPr="005B355C">
              <w:t>10</w:t>
            </w:r>
          </w:p>
        </w:tc>
        <w:tc>
          <w:tcPr>
            <w:tcW w:w="927" w:type="dxa"/>
            <w:noWrap/>
            <w:hideMark/>
          </w:tcPr>
          <w:p w14:paraId="2AAF3EED" w14:textId="77777777" w:rsidR="00291972" w:rsidRPr="005B355C" w:rsidRDefault="00291972" w:rsidP="00757959">
            <w:r w:rsidRPr="005B355C">
              <w:t>21.739</w:t>
            </w:r>
          </w:p>
        </w:tc>
        <w:tc>
          <w:tcPr>
            <w:tcW w:w="795" w:type="dxa"/>
            <w:noWrap/>
            <w:hideMark/>
          </w:tcPr>
          <w:p w14:paraId="200DD28E" w14:textId="77777777" w:rsidR="00291972" w:rsidRPr="005B355C" w:rsidRDefault="00291972" w:rsidP="00757959">
            <w:r w:rsidRPr="005B355C">
              <w:t>0</w:t>
            </w:r>
          </w:p>
        </w:tc>
        <w:tc>
          <w:tcPr>
            <w:tcW w:w="929" w:type="dxa"/>
            <w:noWrap/>
            <w:hideMark/>
          </w:tcPr>
          <w:p w14:paraId="4D535DDD" w14:textId="77777777" w:rsidR="00291972" w:rsidRPr="005B355C" w:rsidRDefault="00291972" w:rsidP="00757959">
            <w:r w:rsidRPr="005B355C">
              <w:t>0</w:t>
            </w:r>
          </w:p>
        </w:tc>
        <w:tc>
          <w:tcPr>
            <w:tcW w:w="795" w:type="dxa"/>
            <w:noWrap/>
            <w:hideMark/>
          </w:tcPr>
          <w:p w14:paraId="1244BDAE" w14:textId="77777777" w:rsidR="00291972" w:rsidRPr="005B355C" w:rsidRDefault="00291972" w:rsidP="00757959">
            <w:r w:rsidRPr="005B355C">
              <w:t>13</w:t>
            </w:r>
          </w:p>
        </w:tc>
        <w:tc>
          <w:tcPr>
            <w:tcW w:w="927" w:type="dxa"/>
            <w:noWrap/>
            <w:hideMark/>
          </w:tcPr>
          <w:p w14:paraId="722D803E" w14:textId="77777777" w:rsidR="00291972" w:rsidRPr="005B355C" w:rsidRDefault="00291972" w:rsidP="00757959">
            <w:r w:rsidRPr="005B355C">
              <w:t>28.261</w:t>
            </w:r>
          </w:p>
        </w:tc>
        <w:tc>
          <w:tcPr>
            <w:tcW w:w="795" w:type="dxa"/>
            <w:noWrap/>
            <w:hideMark/>
          </w:tcPr>
          <w:p w14:paraId="569DC807" w14:textId="77777777" w:rsidR="00291972" w:rsidRPr="005B355C" w:rsidRDefault="00291972" w:rsidP="00757959">
            <w:r w:rsidRPr="005B355C">
              <w:t>0</w:t>
            </w:r>
          </w:p>
        </w:tc>
        <w:tc>
          <w:tcPr>
            <w:tcW w:w="1103" w:type="dxa"/>
            <w:noWrap/>
            <w:hideMark/>
          </w:tcPr>
          <w:p w14:paraId="7E0F97F8" w14:textId="77777777" w:rsidR="00291972" w:rsidRPr="005B355C" w:rsidRDefault="00291972" w:rsidP="00757959">
            <w:r w:rsidRPr="005B355C">
              <w:t>0</w:t>
            </w:r>
          </w:p>
        </w:tc>
      </w:tr>
      <w:tr w:rsidR="00291972" w:rsidRPr="005B355C" w14:paraId="34EE765B" w14:textId="77777777" w:rsidTr="00757959">
        <w:trPr>
          <w:trHeight w:val="287"/>
        </w:trPr>
        <w:tc>
          <w:tcPr>
            <w:tcW w:w="798" w:type="dxa"/>
            <w:noWrap/>
            <w:hideMark/>
          </w:tcPr>
          <w:p w14:paraId="147CA3FA" w14:textId="77777777" w:rsidR="00291972" w:rsidRPr="005B355C" w:rsidRDefault="00291972" w:rsidP="00757959">
            <w:r w:rsidRPr="005B355C">
              <w:t>1970s</w:t>
            </w:r>
          </w:p>
        </w:tc>
        <w:tc>
          <w:tcPr>
            <w:tcW w:w="795" w:type="dxa"/>
            <w:noWrap/>
            <w:hideMark/>
          </w:tcPr>
          <w:p w14:paraId="0CAB6D37" w14:textId="77777777" w:rsidR="00291972" w:rsidRPr="005B355C" w:rsidRDefault="00291972" w:rsidP="00757959">
            <w:r w:rsidRPr="005B355C">
              <w:t>46</w:t>
            </w:r>
          </w:p>
        </w:tc>
        <w:tc>
          <w:tcPr>
            <w:tcW w:w="927" w:type="dxa"/>
            <w:noWrap/>
            <w:hideMark/>
          </w:tcPr>
          <w:p w14:paraId="27897DB8" w14:textId="77777777" w:rsidR="00291972" w:rsidRPr="005B355C" w:rsidRDefault="00291972" w:rsidP="00757959">
            <w:r w:rsidRPr="005B355C">
              <w:t>66.667</w:t>
            </w:r>
          </w:p>
        </w:tc>
        <w:tc>
          <w:tcPr>
            <w:tcW w:w="795" w:type="dxa"/>
            <w:noWrap/>
            <w:hideMark/>
          </w:tcPr>
          <w:p w14:paraId="60A8D229" w14:textId="77777777" w:rsidR="00291972" w:rsidRPr="005B355C" w:rsidRDefault="00291972" w:rsidP="00757959">
            <w:r w:rsidRPr="005B355C">
              <w:t>10</w:t>
            </w:r>
          </w:p>
        </w:tc>
        <w:tc>
          <w:tcPr>
            <w:tcW w:w="927" w:type="dxa"/>
            <w:noWrap/>
            <w:hideMark/>
          </w:tcPr>
          <w:p w14:paraId="47935253" w14:textId="77777777" w:rsidR="00291972" w:rsidRPr="005B355C" w:rsidRDefault="00291972" w:rsidP="00757959">
            <w:r w:rsidRPr="005B355C">
              <w:t>14.493</w:t>
            </w:r>
          </w:p>
        </w:tc>
        <w:tc>
          <w:tcPr>
            <w:tcW w:w="795" w:type="dxa"/>
            <w:noWrap/>
            <w:hideMark/>
          </w:tcPr>
          <w:p w14:paraId="79CA1569" w14:textId="77777777" w:rsidR="00291972" w:rsidRPr="005B355C" w:rsidRDefault="00291972" w:rsidP="00757959">
            <w:r w:rsidRPr="005B355C">
              <w:t>4</w:t>
            </w:r>
          </w:p>
        </w:tc>
        <w:tc>
          <w:tcPr>
            <w:tcW w:w="929" w:type="dxa"/>
            <w:noWrap/>
            <w:hideMark/>
          </w:tcPr>
          <w:p w14:paraId="58A4667D" w14:textId="77777777" w:rsidR="00291972" w:rsidRPr="005B355C" w:rsidRDefault="00291972" w:rsidP="00757959">
            <w:r w:rsidRPr="005B355C">
              <w:t>5.797</w:t>
            </w:r>
          </w:p>
        </w:tc>
        <w:tc>
          <w:tcPr>
            <w:tcW w:w="795" w:type="dxa"/>
            <w:noWrap/>
            <w:hideMark/>
          </w:tcPr>
          <w:p w14:paraId="35FCA14D" w14:textId="77777777" w:rsidR="00291972" w:rsidRPr="005B355C" w:rsidRDefault="00291972" w:rsidP="00757959">
            <w:r w:rsidRPr="005B355C">
              <w:t>6</w:t>
            </w:r>
          </w:p>
        </w:tc>
        <w:tc>
          <w:tcPr>
            <w:tcW w:w="927" w:type="dxa"/>
            <w:noWrap/>
            <w:hideMark/>
          </w:tcPr>
          <w:p w14:paraId="37C4E349" w14:textId="77777777" w:rsidR="00291972" w:rsidRPr="005B355C" w:rsidRDefault="00291972" w:rsidP="00757959">
            <w:r w:rsidRPr="005B355C">
              <w:t>8.696</w:t>
            </w:r>
          </w:p>
        </w:tc>
        <w:tc>
          <w:tcPr>
            <w:tcW w:w="795" w:type="dxa"/>
            <w:noWrap/>
            <w:hideMark/>
          </w:tcPr>
          <w:p w14:paraId="175038F8" w14:textId="77777777" w:rsidR="00291972" w:rsidRPr="005B355C" w:rsidRDefault="00291972" w:rsidP="00757959">
            <w:r w:rsidRPr="005B355C">
              <w:t>3</w:t>
            </w:r>
          </w:p>
        </w:tc>
        <w:tc>
          <w:tcPr>
            <w:tcW w:w="1103" w:type="dxa"/>
            <w:noWrap/>
            <w:hideMark/>
          </w:tcPr>
          <w:p w14:paraId="7BA64693" w14:textId="77777777" w:rsidR="00291972" w:rsidRPr="005B355C" w:rsidRDefault="00291972" w:rsidP="00757959">
            <w:r w:rsidRPr="005B355C">
              <w:t>4.348</w:t>
            </w:r>
          </w:p>
        </w:tc>
      </w:tr>
      <w:tr w:rsidR="00291972" w:rsidRPr="005B355C" w14:paraId="74F01817" w14:textId="77777777" w:rsidTr="00757959">
        <w:trPr>
          <w:trHeight w:val="287"/>
        </w:trPr>
        <w:tc>
          <w:tcPr>
            <w:tcW w:w="798" w:type="dxa"/>
            <w:noWrap/>
            <w:hideMark/>
          </w:tcPr>
          <w:p w14:paraId="3B3F4BC3" w14:textId="77777777" w:rsidR="00291972" w:rsidRPr="005B355C" w:rsidRDefault="00291972" w:rsidP="00757959">
            <w:r w:rsidRPr="005B355C">
              <w:t>1980s</w:t>
            </w:r>
          </w:p>
        </w:tc>
        <w:tc>
          <w:tcPr>
            <w:tcW w:w="795" w:type="dxa"/>
            <w:noWrap/>
            <w:hideMark/>
          </w:tcPr>
          <w:p w14:paraId="064A555B" w14:textId="77777777" w:rsidR="00291972" w:rsidRPr="005B355C" w:rsidRDefault="00291972" w:rsidP="00757959">
            <w:r w:rsidRPr="005B355C">
              <w:t>57</w:t>
            </w:r>
          </w:p>
        </w:tc>
        <w:tc>
          <w:tcPr>
            <w:tcW w:w="927" w:type="dxa"/>
            <w:noWrap/>
            <w:hideMark/>
          </w:tcPr>
          <w:p w14:paraId="6CB92B8B" w14:textId="77777777" w:rsidR="00291972" w:rsidRPr="005B355C" w:rsidRDefault="00291972" w:rsidP="00757959">
            <w:r w:rsidRPr="005B355C">
              <w:t>51.351</w:t>
            </w:r>
          </w:p>
        </w:tc>
        <w:tc>
          <w:tcPr>
            <w:tcW w:w="795" w:type="dxa"/>
            <w:noWrap/>
            <w:hideMark/>
          </w:tcPr>
          <w:p w14:paraId="16C86923" w14:textId="77777777" w:rsidR="00291972" w:rsidRPr="005B355C" w:rsidRDefault="00291972" w:rsidP="00757959">
            <w:r w:rsidRPr="005B355C">
              <w:t>24</w:t>
            </w:r>
          </w:p>
        </w:tc>
        <w:tc>
          <w:tcPr>
            <w:tcW w:w="927" w:type="dxa"/>
            <w:noWrap/>
            <w:hideMark/>
          </w:tcPr>
          <w:p w14:paraId="21761E16" w14:textId="77777777" w:rsidR="00291972" w:rsidRPr="005B355C" w:rsidRDefault="00291972" w:rsidP="00757959">
            <w:r w:rsidRPr="005B355C">
              <w:t>21.622</w:t>
            </w:r>
          </w:p>
        </w:tc>
        <w:tc>
          <w:tcPr>
            <w:tcW w:w="795" w:type="dxa"/>
            <w:noWrap/>
            <w:hideMark/>
          </w:tcPr>
          <w:p w14:paraId="4B6CF893" w14:textId="77777777" w:rsidR="00291972" w:rsidRPr="005B355C" w:rsidRDefault="00291972" w:rsidP="00757959">
            <w:r w:rsidRPr="005B355C">
              <w:t>10</w:t>
            </w:r>
          </w:p>
        </w:tc>
        <w:tc>
          <w:tcPr>
            <w:tcW w:w="929" w:type="dxa"/>
            <w:noWrap/>
            <w:hideMark/>
          </w:tcPr>
          <w:p w14:paraId="2E88FD4A" w14:textId="77777777" w:rsidR="00291972" w:rsidRPr="005B355C" w:rsidRDefault="00291972" w:rsidP="00757959">
            <w:r w:rsidRPr="005B355C">
              <w:t>9.009</w:t>
            </w:r>
          </w:p>
        </w:tc>
        <w:tc>
          <w:tcPr>
            <w:tcW w:w="795" w:type="dxa"/>
            <w:noWrap/>
            <w:hideMark/>
          </w:tcPr>
          <w:p w14:paraId="5869CA36" w14:textId="77777777" w:rsidR="00291972" w:rsidRPr="005B355C" w:rsidRDefault="00291972" w:rsidP="00757959">
            <w:r w:rsidRPr="005B355C">
              <w:t>7</w:t>
            </w:r>
          </w:p>
        </w:tc>
        <w:tc>
          <w:tcPr>
            <w:tcW w:w="927" w:type="dxa"/>
            <w:noWrap/>
            <w:hideMark/>
          </w:tcPr>
          <w:p w14:paraId="6D7F5AA6" w14:textId="77777777" w:rsidR="00291972" w:rsidRPr="005B355C" w:rsidRDefault="00291972" w:rsidP="00757959">
            <w:r w:rsidRPr="005B355C">
              <w:t>6.306</w:t>
            </w:r>
          </w:p>
        </w:tc>
        <w:tc>
          <w:tcPr>
            <w:tcW w:w="795" w:type="dxa"/>
            <w:noWrap/>
            <w:hideMark/>
          </w:tcPr>
          <w:p w14:paraId="49C574C3" w14:textId="77777777" w:rsidR="00291972" w:rsidRPr="005B355C" w:rsidRDefault="00291972" w:rsidP="00757959">
            <w:r w:rsidRPr="005B355C">
              <w:t>13</w:t>
            </w:r>
          </w:p>
        </w:tc>
        <w:tc>
          <w:tcPr>
            <w:tcW w:w="1103" w:type="dxa"/>
            <w:noWrap/>
            <w:hideMark/>
          </w:tcPr>
          <w:p w14:paraId="371D2A64" w14:textId="77777777" w:rsidR="00291972" w:rsidRPr="005B355C" w:rsidRDefault="00291972" w:rsidP="00757959">
            <w:r w:rsidRPr="005B355C">
              <w:t>11.712</w:t>
            </w:r>
          </w:p>
        </w:tc>
      </w:tr>
      <w:tr w:rsidR="00291972" w:rsidRPr="005B355C" w14:paraId="5C76A623" w14:textId="77777777" w:rsidTr="00757959">
        <w:trPr>
          <w:trHeight w:val="287"/>
        </w:trPr>
        <w:tc>
          <w:tcPr>
            <w:tcW w:w="798" w:type="dxa"/>
            <w:noWrap/>
            <w:hideMark/>
          </w:tcPr>
          <w:p w14:paraId="39D91B6C" w14:textId="77777777" w:rsidR="00291972" w:rsidRPr="005B355C" w:rsidRDefault="00291972" w:rsidP="00757959">
            <w:r w:rsidRPr="005B355C">
              <w:t>1990s</w:t>
            </w:r>
          </w:p>
        </w:tc>
        <w:tc>
          <w:tcPr>
            <w:tcW w:w="795" w:type="dxa"/>
            <w:noWrap/>
            <w:hideMark/>
          </w:tcPr>
          <w:p w14:paraId="58FDDBD2" w14:textId="77777777" w:rsidR="00291972" w:rsidRPr="005B355C" w:rsidRDefault="00291972" w:rsidP="00757959">
            <w:r w:rsidRPr="005B355C">
              <w:t>129</w:t>
            </w:r>
          </w:p>
        </w:tc>
        <w:tc>
          <w:tcPr>
            <w:tcW w:w="927" w:type="dxa"/>
            <w:noWrap/>
            <w:hideMark/>
          </w:tcPr>
          <w:p w14:paraId="1DE6DC1C" w14:textId="77777777" w:rsidR="00291972" w:rsidRPr="005B355C" w:rsidRDefault="00291972" w:rsidP="00757959">
            <w:r w:rsidRPr="005B355C">
              <w:t>60.563</w:t>
            </w:r>
          </w:p>
        </w:tc>
        <w:tc>
          <w:tcPr>
            <w:tcW w:w="795" w:type="dxa"/>
            <w:noWrap/>
            <w:hideMark/>
          </w:tcPr>
          <w:p w14:paraId="3C96E953" w14:textId="77777777" w:rsidR="00291972" w:rsidRPr="005B355C" w:rsidRDefault="00291972" w:rsidP="00757959">
            <w:r w:rsidRPr="005B355C">
              <w:t>42</w:t>
            </w:r>
          </w:p>
        </w:tc>
        <w:tc>
          <w:tcPr>
            <w:tcW w:w="927" w:type="dxa"/>
            <w:noWrap/>
            <w:hideMark/>
          </w:tcPr>
          <w:p w14:paraId="0481F61D" w14:textId="77777777" w:rsidR="00291972" w:rsidRPr="005B355C" w:rsidRDefault="00291972" w:rsidP="00757959">
            <w:r w:rsidRPr="005B355C">
              <w:t>19.718</w:t>
            </w:r>
          </w:p>
        </w:tc>
        <w:tc>
          <w:tcPr>
            <w:tcW w:w="795" w:type="dxa"/>
            <w:noWrap/>
            <w:hideMark/>
          </w:tcPr>
          <w:p w14:paraId="08CB6BAA" w14:textId="77777777" w:rsidR="00291972" w:rsidRPr="005B355C" w:rsidRDefault="00291972" w:rsidP="00757959">
            <w:r w:rsidRPr="005B355C">
              <w:t>10</w:t>
            </w:r>
          </w:p>
        </w:tc>
        <w:tc>
          <w:tcPr>
            <w:tcW w:w="929" w:type="dxa"/>
            <w:noWrap/>
            <w:hideMark/>
          </w:tcPr>
          <w:p w14:paraId="7EEE03EA" w14:textId="77777777" w:rsidR="00291972" w:rsidRPr="005B355C" w:rsidRDefault="00291972" w:rsidP="00757959">
            <w:r w:rsidRPr="005B355C">
              <w:t>4.695</w:t>
            </w:r>
          </w:p>
        </w:tc>
        <w:tc>
          <w:tcPr>
            <w:tcW w:w="795" w:type="dxa"/>
            <w:noWrap/>
            <w:hideMark/>
          </w:tcPr>
          <w:p w14:paraId="0C1919D4" w14:textId="77777777" w:rsidR="00291972" w:rsidRPr="005B355C" w:rsidRDefault="00291972" w:rsidP="00757959">
            <w:r w:rsidRPr="005B355C">
              <w:t>12</w:t>
            </w:r>
          </w:p>
        </w:tc>
        <w:tc>
          <w:tcPr>
            <w:tcW w:w="927" w:type="dxa"/>
            <w:noWrap/>
            <w:hideMark/>
          </w:tcPr>
          <w:p w14:paraId="3A008A32" w14:textId="77777777" w:rsidR="00291972" w:rsidRPr="005B355C" w:rsidRDefault="00291972" w:rsidP="00757959">
            <w:r w:rsidRPr="005B355C">
              <w:t>5.634</w:t>
            </w:r>
          </w:p>
        </w:tc>
        <w:tc>
          <w:tcPr>
            <w:tcW w:w="795" w:type="dxa"/>
            <w:noWrap/>
            <w:hideMark/>
          </w:tcPr>
          <w:p w14:paraId="41C27223" w14:textId="77777777" w:rsidR="00291972" w:rsidRPr="005B355C" w:rsidRDefault="00291972" w:rsidP="00757959">
            <w:r w:rsidRPr="005B355C">
              <w:t>20</w:t>
            </w:r>
          </w:p>
        </w:tc>
        <w:tc>
          <w:tcPr>
            <w:tcW w:w="1103" w:type="dxa"/>
            <w:noWrap/>
            <w:hideMark/>
          </w:tcPr>
          <w:p w14:paraId="5BA1779D" w14:textId="77777777" w:rsidR="00291972" w:rsidRPr="005B355C" w:rsidRDefault="00291972" w:rsidP="00757959">
            <w:r w:rsidRPr="005B355C">
              <w:t>9.39</w:t>
            </w:r>
          </w:p>
        </w:tc>
      </w:tr>
      <w:tr w:rsidR="00291972" w:rsidRPr="005B355C" w14:paraId="0B57E4C2" w14:textId="77777777" w:rsidTr="00757959">
        <w:trPr>
          <w:trHeight w:val="287"/>
        </w:trPr>
        <w:tc>
          <w:tcPr>
            <w:tcW w:w="798" w:type="dxa"/>
            <w:noWrap/>
            <w:hideMark/>
          </w:tcPr>
          <w:p w14:paraId="4ED08054" w14:textId="77777777" w:rsidR="00291972" w:rsidRPr="005B355C" w:rsidRDefault="00291972" w:rsidP="00757959">
            <w:r w:rsidRPr="005B355C">
              <w:t>2000s</w:t>
            </w:r>
          </w:p>
        </w:tc>
        <w:tc>
          <w:tcPr>
            <w:tcW w:w="795" w:type="dxa"/>
            <w:noWrap/>
            <w:hideMark/>
          </w:tcPr>
          <w:p w14:paraId="2FD7FAC5" w14:textId="77777777" w:rsidR="00291972" w:rsidRPr="005B355C" w:rsidRDefault="00291972" w:rsidP="00757959">
            <w:r w:rsidRPr="005B355C">
              <w:t>171</w:t>
            </w:r>
          </w:p>
        </w:tc>
        <w:tc>
          <w:tcPr>
            <w:tcW w:w="927" w:type="dxa"/>
            <w:noWrap/>
            <w:hideMark/>
          </w:tcPr>
          <w:p w14:paraId="0BBC32C2" w14:textId="77777777" w:rsidR="00291972" w:rsidRPr="005B355C" w:rsidRDefault="00291972" w:rsidP="00757959">
            <w:r w:rsidRPr="005B355C">
              <w:t>61.071</w:t>
            </w:r>
          </w:p>
        </w:tc>
        <w:tc>
          <w:tcPr>
            <w:tcW w:w="795" w:type="dxa"/>
            <w:noWrap/>
            <w:hideMark/>
          </w:tcPr>
          <w:p w14:paraId="4DF3F220" w14:textId="77777777" w:rsidR="00291972" w:rsidRPr="005B355C" w:rsidRDefault="00291972" w:rsidP="00757959">
            <w:r w:rsidRPr="005B355C">
              <w:t>75</w:t>
            </w:r>
          </w:p>
        </w:tc>
        <w:tc>
          <w:tcPr>
            <w:tcW w:w="927" w:type="dxa"/>
            <w:noWrap/>
            <w:hideMark/>
          </w:tcPr>
          <w:p w14:paraId="229C9190" w14:textId="77777777" w:rsidR="00291972" w:rsidRPr="005B355C" w:rsidRDefault="00291972" w:rsidP="00757959">
            <w:r w:rsidRPr="005B355C">
              <w:t>26.786</w:t>
            </w:r>
          </w:p>
        </w:tc>
        <w:tc>
          <w:tcPr>
            <w:tcW w:w="795" w:type="dxa"/>
            <w:noWrap/>
            <w:hideMark/>
          </w:tcPr>
          <w:p w14:paraId="6B891647" w14:textId="77777777" w:rsidR="00291972" w:rsidRPr="005B355C" w:rsidRDefault="00291972" w:rsidP="00757959">
            <w:r w:rsidRPr="005B355C">
              <w:t>0</w:t>
            </w:r>
          </w:p>
        </w:tc>
        <w:tc>
          <w:tcPr>
            <w:tcW w:w="929" w:type="dxa"/>
            <w:noWrap/>
            <w:hideMark/>
          </w:tcPr>
          <w:p w14:paraId="0528A140" w14:textId="77777777" w:rsidR="00291972" w:rsidRPr="005B355C" w:rsidRDefault="00291972" w:rsidP="00757959">
            <w:r w:rsidRPr="005B355C">
              <w:t>0</w:t>
            </w:r>
          </w:p>
        </w:tc>
        <w:tc>
          <w:tcPr>
            <w:tcW w:w="795" w:type="dxa"/>
            <w:noWrap/>
            <w:hideMark/>
          </w:tcPr>
          <w:p w14:paraId="02BEC6AE" w14:textId="77777777" w:rsidR="00291972" w:rsidRPr="005B355C" w:rsidRDefault="00291972" w:rsidP="00757959">
            <w:r w:rsidRPr="005B355C">
              <w:t>14</w:t>
            </w:r>
          </w:p>
        </w:tc>
        <w:tc>
          <w:tcPr>
            <w:tcW w:w="927" w:type="dxa"/>
            <w:noWrap/>
            <w:hideMark/>
          </w:tcPr>
          <w:p w14:paraId="6BD8BE0D" w14:textId="77777777" w:rsidR="00291972" w:rsidRPr="005B355C" w:rsidRDefault="00291972" w:rsidP="00757959">
            <w:r w:rsidRPr="005B355C">
              <w:t>5</w:t>
            </w:r>
          </w:p>
        </w:tc>
        <w:tc>
          <w:tcPr>
            <w:tcW w:w="795" w:type="dxa"/>
            <w:noWrap/>
            <w:hideMark/>
          </w:tcPr>
          <w:p w14:paraId="74FFE571" w14:textId="77777777" w:rsidR="00291972" w:rsidRPr="005B355C" w:rsidRDefault="00291972" w:rsidP="00757959">
            <w:r w:rsidRPr="005B355C">
              <w:t>20</w:t>
            </w:r>
          </w:p>
        </w:tc>
        <w:tc>
          <w:tcPr>
            <w:tcW w:w="1103" w:type="dxa"/>
            <w:noWrap/>
            <w:hideMark/>
          </w:tcPr>
          <w:p w14:paraId="18122666" w14:textId="77777777" w:rsidR="00291972" w:rsidRPr="005B355C" w:rsidRDefault="00291972" w:rsidP="00757959">
            <w:r w:rsidRPr="005B355C">
              <w:t>7.143</w:t>
            </w:r>
          </w:p>
        </w:tc>
      </w:tr>
      <w:tr w:rsidR="00291972" w:rsidRPr="005B355C" w14:paraId="0AEE36CC" w14:textId="77777777" w:rsidTr="00757959">
        <w:trPr>
          <w:trHeight w:val="287"/>
        </w:trPr>
        <w:tc>
          <w:tcPr>
            <w:tcW w:w="798" w:type="dxa"/>
            <w:noWrap/>
            <w:hideMark/>
          </w:tcPr>
          <w:p w14:paraId="45EFA7D0" w14:textId="77777777" w:rsidR="00291972" w:rsidRPr="005B355C" w:rsidRDefault="00291972" w:rsidP="00757959">
            <w:r w:rsidRPr="005B355C">
              <w:t>2010s</w:t>
            </w:r>
          </w:p>
        </w:tc>
        <w:tc>
          <w:tcPr>
            <w:tcW w:w="795" w:type="dxa"/>
            <w:noWrap/>
            <w:hideMark/>
          </w:tcPr>
          <w:p w14:paraId="1605BF64" w14:textId="77777777" w:rsidR="00291972" w:rsidRPr="005B355C" w:rsidRDefault="00291972" w:rsidP="00757959">
            <w:r w:rsidRPr="005B355C">
              <w:t>122</w:t>
            </w:r>
          </w:p>
        </w:tc>
        <w:tc>
          <w:tcPr>
            <w:tcW w:w="927" w:type="dxa"/>
            <w:noWrap/>
            <w:hideMark/>
          </w:tcPr>
          <w:p w14:paraId="758C1739" w14:textId="77777777" w:rsidR="00291972" w:rsidRPr="005B355C" w:rsidRDefault="00291972" w:rsidP="00757959">
            <w:r w:rsidRPr="005B355C">
              <w:t>59.223</w:t>
            </w:r>
          </w:p>
        </w:tc>
        <w:tc>
          <w:tcPr>
            <w:tcW w:w="795" w:type="dxa"/>
            <w:noWrap/>
            <w:hideMark/>
          </w:tcPr>
          <w:p w14:paraId="1A63D2E1" w14:textId="77777777" w:rsidR="00291972" w:rsidRPr="005B355C" w:rsidRDefault="00291972" w:rsidP="00757959">
            <w:r w:rsidRPr="005B355C">
              <w:t>70</w:t>
            </w:r>
          </w:p>
        </w:tc>
        <w:tc>
          <w:tcPr>
            <w:tcW w:w="927" w:type="dxa"/>
            <w:noWrap/>
            <w:hideMark/>
          </w:tcPr>
          <w:p w14:paraId="029DCE3F" w14:textId="77777777" w:rsidR="00291972" w:rsidRPr="005B355C" w:rsidRDefault="00291972" w:rsidP="00757959">
            <w:r w:rsidRPr="005B355C">
              <w:t>33.981</w:t>
            </w:r>
          </w:p>
        </w:tc>
        <w:tc>
          <w:tcPr>
            <w:tcW w:w="795" w:type="dxa"/>
            <w:noWrap/>
            <w:hideMark/>
          </w:tcPr>
          <w:p w14:paraId="7AFDE574" w14:textId="77777777" w:rsidR="00291972" w:rsidRPr="005B355C" w:rsidRDefault="00291972" w:rsidP="00757959">
            <w:r w:rsidRPr="005B355C">
              <w:t>0</w:t>
            </w:r>
          </w:p>
        </w:tc>
        <w:tc>
          <w:tcPr>
            <w:tcW w:w="929" w:type="dxa"/>
            <w:noWrap/>
            <w:hideMark/>
          </w:tcPr>
          <w:p w14:paraId="7958978A" w14:textId="77777777" w:rsidR="00291972" w:rsidRPr="005B355C" w:rsidRDefault="00291972" w:rsidP="00757959">
            <w:r w:rsidRPr="005B355C">
              <w:t>0</w:t>
            </w:r>
          </w:p>
        </w:tc>
        <w:tc>
          <w:tcPr>
            <w:tcW w:w="795" w:type="dxa"/>
            <w:noWrap/>
            <w:hideMark/>
          </w:tcPr>
          <w:p w14:paraId="56BA7866" w14:textId="77777777" w:rsidR="00291972" w:rsidRPr="005B355C" w:rsidRDefault="00291972" w:rsidP="00757959">
            <w:r w:rsidRPr="005B355C">
              <w:t>0</w:t>
            </w:r>
          </w:p>
        </w:tc>
        <w:tc>
          <w:tcPr>
            <w:tcW w:w="927" w:type="dxa"/>
            <w:noWrap/>
            <w:hideMark/>
          </w:tcPr>
          <w:p w14:paraId="4AA9D737" w14:textId="77777777" w:rsidR="00291972" w:rsidRPr="005B355C" w:rsidRDefault="00291972" w:rsidP="00757959">
            <w:r w:rsidRPr="005B355C">
              <w:t>0</w:t>
            </w:r>
          </w:p>
        </w:tc>
        <w:tc>
          <w:tcPr>
            <w:tcW w:w="795" w:type="dxa"/>
            <w:noWrap/>
            <w:hideMark/>
          </w:tcPr>
          <w:p w14:paraId="70B243FA" w14:textId="77777777" w:rsidR="00291972" w:rsidRPr="005B355C" w:rsidRDefault="00291972" w:rsidP="00757959">
            <w:r w:rsidRPr="005B355C">
              <w:t>14</w:t>
            </w:r>
          </w:p>
        </w:tc>
        <w:tc>
          <w:tcPr>
            <w:tcW w:w="1103" w:type="dxa"/>
            <w:noWrap/>
            <w:hideMark/>
          </w:tcPr>
          <w:p w14:paraId="01E6B659" w14:textId="77777777" w:rsidR="00291972" w:rsidRPr="005B355C" w:rsidRDefault="00291972" w:rsidP="00757959">
            <w:r w:rsidRPr="005B355C">
              <w:t>6.796</w:t>
            </w:r>
          </w:p>
        </w:tc>
      </w:tr>
    </w:tbl>
    <w:p w14:paraId="2C6A1C03" w14:textId="77777777" w:rsidR="00291972" w:rsidRDefault="00291972" w:rsidP="00256048">
      <w:pPr>
        <w:spacing w:line="480" w:lineRule="auto"/>
      </w:pPr>
    </w:p>
    <w:p w14:paraId="60E67F89" w14:textId="77777777" w:rsidR="00B40F60" w:rsidRDefault="00B40F60" w:rsidP="00B40F60">
      <w:pPr>
        <w:spacing w:line="480" w:lineRule="auto"/>
        <w:ind w:firstLine="720"/>
      </w:pPr>
      <w:r>
        <w:t>Finally, there are a few patterns of religion over time in the sample (Table 4). Socialism declines as a proportion of organization-years over the course of the time period. Nonreligious organizations are more common after 1990 than before. Muslim and Indigenous organizations are most common in the 1980s, but Hindu organizations show no clear pattern over time.</w:t>
      </w:r>
    </w:p>
    <w:p w14:paraId="02F933E6" w14:textId="6AB67099" w:rsidR="00953F31" w:rsidRDefault="00B40F60" w:rsidP="00D72A73">
      <w:pPr>
        <w:spacing w:line="480" w:lineRule="auto"/>
        <w:ind w:firstLine="720"/>
      </w:pPr>
      <w:r>
        <w:t xml:space="preserve">In general, there is a lot of persistence in the data. </w:t>
      </w:r>
      <w:r w:rsidR="00B716F7">
        <w:t>Most organization-years persist into the next year</w:t>
      </w:r>
      <w:r>
        <w:t>.</w:t>
      </w:r>
      <w:r w:rsidR="00B716F7">
        <w:t xml:space="preserve"> </w:t>
      </w:r>
      <w:r>
        <w:t xml:space="preserve">In </w:t>
      </w:r>
      <w:r w:rsidR="00B716F7">
        <w:t>21 organization</w:t>
      </w:r>
      <w:r>
        <w:t>-</w:t>
      </w:r>
      <w:r w:rsidR="00B716F7">
        <w:t>years</w:t>
      </w:r>
      <w:r w:rsidR="00CD25E9">
        <w:t xml:space="preserve"> (</w:t>
      </w:r>
      <w:r w:rsidR="00CD25E9" w:rsidRPr="00CD25E9">
        <w:t>2.270</w:t>
      </w:r>
      <w:r w:rsidR="00CD25E9">
        <w:t xml:space="preserve"> percent)</w:t>
      </w:r>
      <w:r w:rsidR="00EC45E4">
        <w:t xml:space="preserve">, the organization ceases activity and fails to persist to the next year. Also, </w:t>
      </w:r>
      <w:r w:rsidR="001F2A03">
        <w:t>30 organizations</w:t>
      </w:r>
      <w:r w:rsidR="00D72A73">
        <w:t xml:space="preserve"> (</w:t>
      </w:r>
      <w:r w:rsidR="00D72A73" w:rsidRPr="00D72A73">
        <w:t>3.243</w:t>
      </w:r>
      <w:r w:rsidR="00D72A73">
        <w:t xml:space="preserve"> percent) </w:t>
      </w:r>
      <w:r w:rsidR="001F2A03">
        <w:t>which remained active in 2016</w:t>
      </w:r>
      <w:r w:rsidR="00EC45E4">
        <w:t xml:space="preserve"> are right-censored</w:t>
      </w:r>
      <w:r w:rsidR="00B716F7">
        <w:t>.</w:t>
      </w:r>
    </w:p>
    <w:p w14:paraId="59349C5A" w14:textId="2ABAE92D" w:rsidR="003A772C" w:rsidRDefault="00EC45E4" w:rsidP="008F221A">
      <w:pPr>
        <w:spacing w:line="480" w:lineRule="auto"/>
        <w:ind w:firstLine="720"/>
        <w:rPr>
          <w:rStyle w:val="normaltextrun"/>
        </w:rPr>
      </w:pPr>
      <w:r>
        <w:t xml:space="preserve">On this data, </w:t>
      </w:r>
      <w:r w:rsidR="00855F0D">
        <w:t xml:space="preserve">I </w:t>
      </w:r>
      <w:r w:rsidR="00727692">
        <w:t>estimate</w:t>
      </w:r>
      <w:r w:rsidR="00855F0D">
        <w:t xml:space="preserve"> </w:t>
      </w:r>
      <w:r w:rsidR="001F1E9A">
        <w:t xml:space="preserve">logistic regression models estimating the likelihood of an organization </w:t>
      </w:r>
      <w:r w:rsidR="00855F0D">
        <w:t xml:space="preserve">ceasing to make claims </w:t>
      </w:r>
      <w:r w:rsidR="001F1E9A">
        <w:t>in a given year</w:t>
      </w:r>
      <w:r w:rsidR="004A1CBD">
        <w:t>.</w:t>
      </w:r>
      <w:r w:rsidR="001F1E9A">
        <w:t xml:space="preserve"> </w:t>
      </w:r>
      <w:r w:rsidR="00841F68">
        <w:rPr>
          <w:rStyle w:val="normaltextrun"/>
        </w:rPr>
        <w:t>Because it is reasonable to assume that an organization which has persisted many years is more likely to persist into the next year than a new organization, I control for the number of years that the organization has been actively making claims up to the year of observation in all models.</w:t>
      </w:r>
      <w:r w:rsidR="001117EA" w:rsidRPr="001117EA">
        <w:t xml:space="preserve"> </w:t>
      </w:r>
      <w:r w:rsidR="001117EA">
        <w:t>B</w:t>
      </w:r>
      <w:bookmarkStart w:id="5" w:name="_Hlk113565979"/>
      <w:r w:rsidR="001117EA">
        <w:t xml:space="preserve">ecause states with civil liberties and greater wealth could, potentially, be more favorable environments for organizational persistence as well as the free practice of religion, I additionally </w:t>
      </w:r>
      <w:bookmarkEnd w:id="5"/>
      <w:r w:rsidR="001117EA">
        <w:t>estimate models with controls at the country level for liberal democracy (</w:t>
      </w:r>
      <w:proofErr w:type="spellStart"/>
      <w:r w:rsidR="001117EA">
        <w:t>Coppedge</w:t>
      </w:r>
      <w:proofErr w:type="spellEnd"/>
      <w:r w:rsidR="001117EA">
        <w:t xml:space="preserve"> et al. 2017, 51) from the Varieties of Democracy (V-</w:t>
      </w:r>
      <w:r w:rsidR="001117EA">
        <w:lastRenderedPageBreak/>
        <w:t>DEM) project (</w:t>
      </w:r>
      <w:proofErr w:type="spellStart"/>
      <w:r w:rsidR="001117EA">
        <w:t>Coppedge</w:t>
      </w:r>
      <w:proofErr w:type="spellEnd"/>
      <w:r w:rsidR="001117EA">
        <w:t xml:space="preserve"> et al. 2017) and </w:t>
      </w:r>
      <w:r w:rsidR="001117EA">
        <w:rPr>
          <w:rStyle w:val="normaltextrun"/>
        </w:rPr>
        <w:t>GDP per capita from the Penn World Table Version 10 (</w:t>
      </w:r>
      <w:proofErr w:type="spellStart"/>
      <w:r w:rsidR="001117EA">
        <w:t>Feenstra</w:t>
      </w:r>
      <w:proofErr w:type="spellEnd"/>
      <w:r w:rsidR="001117EA">
        <w:t xml:space="preserve">, </w:t>
      </w:r>
      <w:proofErr w:type="spellStart"/>
      <w:r w:rsidR="001117EA">
        <w:t>Inklaar</w:t>
      </w:r>
      <w:proofErr w:type="spellEnd"/>
      <w:r w:rsidR="001117EA">
        <w:t>, and Timmer 2015</w:t>
      </w:r>
      <w:r w:rsidR="001117EA">
        <w:rPr>
          <w:rStyle w:val="normaltextrun"/>
        </w:rPr>
        <w:t>)</w:t>
      </w:r>
      <w:r w:rsidR="00841F68">
        <w:rPr>
          <w:rStyle w:val="normaltextrun"/>
        </w:rPr>
        <w:t>.</w:t>
      </w:r>
      <w:r w:rsidR="00F42D1D">
        <w:rPr>
          <w:rStyle w:val="normaltextrun"/>
        </w:rPr>
        <w:t xml:space="preserve"> </w:t>
      </w:r>
      <w:r w:rsidR="00841F68">
        <w:rPr>
          <w:rStyle w:val="normaltextrun"/>
        </w:rPr>
        <w:t xml:space="preserve"> </w:t>
      </w:r>
      <w:r w:rsidR="004A1CBD">
        <w:rPr>
          <w:rStyle w:val="normaltextrun"/>
        </w:rPr>
        <w:t xml:space="preserve">All these variables are lagged </w:t>
      </w:r>
      <w:r>
        <w:rPr>
          <w:rStyle w:val="normaltextrun"/>
        </w:rPr>
        <w:t xml:space="preserve">by one </w:t>
      </w:r>
      <w:r w:rsidR="004A1CBD">
        <w:rPr>
          <w:rStyle w:val="normaltextrun"/>
        </w:rPr>
        <w:t>year</w:t>
      </w:r>
      <w:r w:rsidR="00F42D1D">
        <w:rPr>
          <w:rStyle w:val="normaltextrun"/>
        </w:rPr>
        <w:t>.</w:t>
      </w:r>
    </w:p>
    <w:p w14:paraId="583F936B" w14:textId="015367AD" w:rsidR="00497FFC" w:rsidRDefault="00AA50BD" w:rsidP="00497FFC">
      <w:pPr>
        <w:pStyle w:val="Heading1"/>
        <w:spacing w:before="0" w:line="480" w:lineRule="auto"/>
      </w:pPr>
      <w:r>
        <w:t>Results</w:t>
      </w:r>
    </w:p>
    <w:p w14:paraId="4DEE9717" w14:textId="11ABDE4D" w:rsidR="00CD25E9" w:rsidRDefault="00444230" w:rsidP="002E505A">
      <w:pPr>
        <w:spacing w:line="480" w:lineRule="auto"/>
        <w:ind w:firstLine="720"/>
      </w:pPr>
      <w:r>
        <w:t xml:space="preserve">As outlined above, Hypothesis 1 predicts that an organization which adheres to religion, or a religion-like ideology will be more likely to persist than other organizations. So, in a given year, I expect that the likelihood of a religious or similar organization ceasing to operate in the next year will be less than an organization which lacks religion or religion-like ideology. </w:t>
      </w:r>
      <w:r w:rsidR="00D30B32">
        <w:t xml:space="preserve">I </w:t>
      </w:r>
      <w:r>
        <w:t xml:space="preserve">start by estimating a model controlling solely for the age of an organization (Column 1 in Table 6 below). Model 1 shows that religious organizations and those with religion-like ideology are significantly have a significantly smaller log-likelihood of ceasing to persist into the next year compared to nonreligious organizations. </w:t>
      </w:r>
      <w:r w:rsidR="00CD25E9">
        <w:t>This demonstrates strong evidence in favor of Hypothesis 1. Similarly, Model 1 shows additional evidence in favor of Hypothesis 1 when calculating predicted probabilities. The predicted probability of ending activity in the following year is .0</w:t>
      </w:r>
      <w:r w:rsidR="0068284E">
        <w:t>29</w:t>
      </w:r>
      <w:r w:rsidR="00CD25E9">
        <w:t xml:space="preserve"> less for religious organizations and those with religion-like ideology than for nonreligious organizations (Figure 1 and Row 1 in Table 5 below)</w:t>
      </w:r>
      <w:r w:rsidR="002E505A">
        <w:t>. This is a substantively significant decrease as the baseline probability of ceasing activity (the proportion of organization-years that fail to persist) is .023. Therefore, Model 1 shows substantial support for Hypothesis 1 that religious organizations and those with religion-like ideology are more likely to persist than other organizations.</w:t>
      </w:r>
    </w:p>
    <w:p w14:paraId="79D38029" w14:textId="7394DE3B" w:rsidR="004D3E92" w:rsidRDefault="004D3E92" w:rsidP="00785129">
      <w:pPr>
        <w:spacing w:line="480" w:lineRule="auto"/>
        <w:ind w:firstLine="720"/>
      </w:pPr>
    </w:p>
    <w:p w14:paraId="7A96ADAC" w14:textId="14396B3B" w:rsidR="00CD25E9" w:rsidRDefault="004D3E92" w:rsidP="00256048">
      <w:pPr>
        <w:spacing w:line="480" w:lineRule="auto"/>
        <w:ind w:firstLine="720"/>
        <w:jc w:val="center"/>
      </w:pPr>
      <w:r>
        <w:rPr>
          <w:noProof/>
        </w:rPr>
        <w:lastRenderedPageBreak/>
        <w:drawing>
          <wp:inline distT="0" distB="0" distL="0" distR="0" wp14:anchorId="04E989FA" wp14:editId="327171F1">
            <wp:extent cx="3028950" cy="30289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14:paraId="76475955" w14:textId="26A3F8F2" w:rsidR="00CD25E9" w:rsidRPr="00571EDE" w:rsidRDefault="00CD25E9" w:rsidP="00CD25E9">
      <w:pPr>
        <w:spacing w:line="480" w:lineRule="auto"/>
        <w:rPr>
          <w:b/>
          <w:bCs/>
        </w:rPr>
      </w:pPr>
      <w:r w:rsidRPr="00571EDE">
        <w:rPr>
          <w:b/>
          <w:bCs/>
        </w:rPr>
        <w:t>Figure 1: Probability of Ending Activity due to Religion (Model 1 - Religion Only)</w:t>
      </w:r>
    </w:p>
    <w:p w14:paraId="48AE61C5" w14:textId="35F670B5" w:rsidR="00E1611D" w:rsidRDefault="00E54834" w:rsidP="0068284E">
      <w:pPr>
        <w:spacing w:line="480" w:lineRule="auto"/>
      </w:pPr>
      <w:r>
        <w:tab/>
        <w:t xml:space="preserve">Next, I turn </w:t>
      </w:r>
      <w:r w:rsidR="00E1611D">
        <w:t xml:space="preserve">to Hypothesis 2. Are organizations which promote membership practices less likely to cease activity in a year? In Model 2 (Column 2 in Table 6 below), I estimate a relationship between membership practices and the likelihood of ceasing activity in a year, controlling only for the age of the organization. As with Hypothesis 1, I find support for Hypothesis 2: organizations which promote membership practices have a significantly smaller likelihood of ceasing activity in a year compared to those organizations which do not have such practices. </w:t>
      </w:r>
      <w:r w:rsidR="0068284E">
        <w:t>This corresponds to a .04 reduction in the predicted probability of ceasing activity in a year (Figure 2 and Row 2 in Table 5 below). Thus, as with Hypothesis 1, I find strong support for Hypothesis 2 that membership practices are associated with greater persistence.</w:t>
      </w:r>
    </w:p>
    <w:p w14:paraId="4A4E92D0" w14:textId="67B61EA2" w:rsidR="004D3E92" w:rsidRDefault="004D3E92" w:rsidP="00256048">
      <w:pPr>
        <w:spacing w:line="480" w:lineRule="auto"/>
        <w:jc w:val="center"/>
      </w:pPr>
      <w:r>
        <w:rPr>
          <w:noProof/>
        </w:rPr>
        <w:lastRenderedPageBreak/>
        <w:drawing>
          <wp:inline distT="0" distB="0" distL="0" distR="0" wp14:anchorId="43C582EE" wp14:editId="01FEDB1B">
            <wp:extent cx="3200400" cy="32004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ED408C1" w14:textId="066D53A3" w:rsidR="0068284E" w:rsidRPr="00256048" w:rsidRDefault="0068284E" w:rsidP="0068284E">
      <w:pPr>
        <w:spacing w:line="480" w:lineRule="auto"/>
        <w:rPr>
          <w:b/>
          <w:bCs/>
        </w:rPr>
      </w:pPr>
      <w:bookmarkStart w:id="6" w:name="_Hlk113530326"/>
      <w:r w:rsidRPr="002465EC">
        <w:rPr>
          <w:b/>
          <w:bCs/>
        </w:rPr>
        <w:t xml:space="preserve">Figure </w:t>
      </w:r>
      <w:r>
        <w:rPr>
          <w:b/>
          <w:bCs/>
        </w:rPr>
        <w:t>2</w:t>
      </w:r>
      <w:r w:rsidRPr="002465EC">
        <w:rPr>
          <w:b/>
          <w:bCs/>
        </w:rPr>
        <w:t xml:space="preserve">: Probability of Ending Activity due to </w:t>
      </w:r>
      <w:r>
        <w:rPr>
          <w:b/>
          <w:bCs/>
        </w:rPr>
        <w:t xml:space="preserve">Membership Practices </w:t>
      </w:r>
      <w:r w:rsidRPr="002465EC">
        <w:rPr>
          <w:b/>
          <w:bCs/>
        </w:rPr>
        <w:t xml:space="preserve">(Model </w:t>
      </w:r>
      <w:r>
        <w:rPr>
          <w:b/>
          <w:bCs/>
        </w:rPr>
        <w:t>2</w:t>
      </w:r>
      <w:r w:rsidRPr="002465EC">
        <w:rPr>
          <w:b/>
          <w:bCs/>
        </w:rPr>
        <w:t xml:space="preserve"> </w:t>
      </w:r>
      <w:r>
        <w:rPr>
          <w:b/>
          <w:bCs/>
        </w:rPr>
        <w:t>–</w:t>
      </w:r>
      <w:r w:rsidRPr="002465EC">
        <w:rPr>
          <w:b/>
          <w:bCs/>
        </w:rPr>
        <w:t xml:space="preserve"> </w:t>
      </w:r>
      <w:r>
        <w:rPr>
          <w:b/>
          <w:bCs/>
        </w:rPr>
        <w:t xml:space="preserve">Practices </w:t>
      </w:r>
      <w:r w:rsidRPr="002465EC">
        <w:rPr>
          <w:b/>
          <w:bCs/>
        </w:rPr>
        <w:t>Only)</w:t>
      </w:r>
    </w:p>
    <w:bookmarkEnd w:id="6"/>
    <w:p w14:paraId="7937D6EB" w14:textId="30A7ED88" w:rsidR="0068284E" w:rsidRDefault="0068284E"/>
    <w:p w14:paraId="61824B12" w14:textId="5C566399" w:rsidR="00B46696" w:rsidRPr="00256048" w:rsidRDefault="00B46696">
      <w:pPr>
        <w:rPr>
          <w:b/>
          <w:bCs/>
        </w:rPr>
      </w:pPr>
      <w:r w:rsidRPr="00256048">
        <w:rPr>
          <w:b/>
          <w:bCs/>
        </w:rPr>
        <w:t>Table 5: Change in the Predicted Probability of Ending Activity in the Year</w:t>
      </w:r>
      <w:r>
        <w:rPr>
          <w:b/>
          <w:bCs/>
        </w:rPr>
        <w:t xml:space="preserve"> due to Religion and Membership Practices</w:t>
      </w:r>
      <w:r w:rsidR="00C27C3A">
        <w:rPr>
          <w:rStyle w:val="FootnoteReference"/>
          <w:b/>
          <w:bCs/>
        </w:rPr>
        <w:footnoteReference w:id="4"/>
      </w:r>
    </w:p>
    <w:p w14:paraId="4C5405C0" w14:textId="77777777" w:rsidR="00B46696" w:rsidRDefault="00B4669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5"/>
        <w:gridCol w:w="980"/>
        <w:gridCol w:w="980"/>
        <w:gridCol w:w="794"/>
        <w:gridCol w:w="1334"/>
        <w:gridCol w:w="1387"/>
      </w:tblGrid>
      <w:tr w:rsidR="00B46696" w:rsidRPr="00B46696" w14:paraId="5C5E90B3" w14:textId="77777777" w:rsidTr="00B46696">
        <w:trPr>
          <w:tblCellSpacing w:w="15" w:type="dxa"/>
        </w:trPr>
        <w:tc>
          <w:tcPr>
            <w:tcW w:w="0" w:type="auto"/>
            <w:gridSpan w:val="6"/>
            <w:tcBorders>
              <w:bottom w:val="single" w:sz="6" w:space="0" w:color="000000"/>
            </w:tcBorders>
            <w:vAlign w:val="center"/>
            <w:hideMark/>
          </w:tcPr>
          <w:p w14:paraId="289AF966" w14:textId="77777777" w:rsidR="00B46696" w:rsidRPr="00B46696" w:rsidRDefault="00B46696" w:rsidP="00B46696">
            <w:pPr>
              <w:rPr>
                <w:rFonts w:eastAsia="Times New Roman" w:cs="Times New Roman"/>
                <w:szCs w:val="20"/>
              </w:rPr>
            </w:pPr>
          </w:p>
        </w:tc>
      </w:tr>
      <w:tr w:rsidR="00B46696" w:rsidRPr="00B46696" w14:paraId="18317593" w14:textId="77777777" w:rsidTr="00B46696">
        <w:trPr>
          <w:tblCellSpacing w:w="15" w:type="dxa"/>
        </w:trPr>
        <w:tc>
          <w:tcPr>
            <w:tcW w:w="0" w:type="auto"/>
            <w:vAlign w:val="center"/>
            <w:hideMark/>
          </w:tcPr>
          <w:p w14:paraId="32E20A48" w14:textId="77777777" w:rsidR="00B46696" w:rsidRPr="00B46696" w:rsidRDefault="00B46696" w:rsidP="00B46696">
            <w:pPr>
              <w:rPr>
                <w:rFonts w:eastAsia="Times New Roman" w:cs="Times New Roman"/>
                <w:szCs w:val="24"/>
              </w:rPr>
            </w:pPr>
            <w:r w:rsidRPr="00B46696">
              <w:rPr>
                <w:rFonts w:eastAsia="Times New Roman" w:cs="Times New Roman"/>
                <w:szCs w:val="24"/>
              </w:rPr>
              <w:t>Model</w:t>
            </w:r>
          </w:p>
        </w:tc>
        <w:tc>
          <w:tcPr>
            <w:tcW w:w="0" w:type="auto"/>
            <w:vAlign w:val="center"/>
            <w:hideMark/>
          </w:tcPr>
          <w:p w14:paraId="24B12B2C"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Ideology</w:t>
            </w:r>
          </w:p>
        </w:tc>
        <w:tc>
          <w:tcPr>
            <w:tcW w:w="0" w:type="auto"/>
            <w:vAlign w:val="center"/>
            <w:hideMark/>
          </w:tcPr>
          <w:p w14:paraId="3BD2079C"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Signals</w:t>
            </w:r>
          </w:p>
        </w:tc>
        <w:tc>
          <w:tcPr>
            <w:tcW w:w="0" w:type="auto"/>
            <w:vAlign w:val="center"/>
            <w:hideMark/>
          </w:tcPr>
          <w:p w14:paraId="037AB03C"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Change</w:t>
            </w:r>
          </w:p>
        </w:tc>
        <w:tc>
          <w:tcPr>
            <w:tcW w:w="0" w:type="auto"/>
            <w:vAlign w:val="center"/>
            <w:hideMark/>
          </w:tcPr>
          <w:p w14:paraId="14C7A8FE"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95% C.I. Min</w:t>
            </w:r>
          </w:p>
        </w:tc>
        <w:tc>
          <w:tcPr>
            <w:tcW w:w="0" w:type="auto"/>
            <w:vAlign w:val="center"/>
            <w:hideMark/>
          </w:tcPr>
          <w:p w14:paraId="4AAADEC8"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95% C.I. Max</w:t>
            </w:r>
          </w:p>
        </w:tc>
      </w:tr>
      <w:tr w:rsidR="00B46696" w:rsidRPr="00B46696" w14:paraId="6FA8C9DA" w14:textId="77777777" w:rsidTr="00B46696">
        <w:trPr>
          <w:tblCellSpacing w:w="15" w:type="dxa"/>
        </w:trPr>
        <w:tc>
          <w:tcPr>
            <w:tcW w:w="0" w:type="auto"/>
            <w:gridSpan w:val="6"/>
            <w:tcBorders>
              <w:bottom w:val="single" w:sz="6" w:space="0" w:color="000000"/>
            </w:tcBorders>
            <w:vAlign w:val="center"/>
            <w:hideMark/>
          </w:tcPr>
          <w:p w14:paraId="3C7856DA" w14:textId="77777777" w:rsidR="00B46696" w:rsidRPr="00B46696" w:rsidRDefault="00B46696" w:rsidP="00B46696">
            <w:pPr>
              <w:jc w:val="center"/>
              <w:rPr>
                <w:rFonts w:eastAsia="Times New Roman" w:cs="Times New Roman"/>
                <w:szCs w:val="24"/>
              </w:rPr>
            </w:pPr>
          </w:p>
        </w:tc>
      </w:tr>
      <w:tr w:rsidR="00B46696" w:rsidRPr="00B46696" w14:paraId="0370AF0F" w14:textId="77777777" w:rsidTr="00B46696">
        <w:trPr>
          <w:tblCellSpacing w:w="15" w:type="dxa"/>
        </w:trPr>
        <w:tc>
          <w:tcPr>
            <w:tcW w:w="0" w:type="auto"/>
            <w:vAlign w:val="center"/>
            <w:hideMark/>
          </w:tcPr>
          <w:p w14:paraId="3954962C" w14:textId="77777777" w:rsidR="00B46696" w:rsidRPr="00B46696" w:rsidRDefault="00B46696" w:rsidP="00B46696">
            <w:pPr>
              <w:rPr>
                <w:rFonts w:eastAsia="Times New Roman" w:cs="Times New Roman"/>
                <w:szCs w:val="24"/>
              </w:rPr>
            </w:pPr>
            <w:r w:rsidRPr="00B46696">
              <w:rPr>
                <w:rFonts w:eastAsia="Times New Roman" w:cs="Times New Roman"/>
                <w:szCs w:val="24"/>
              </w:rPr>
              <w:t>M1: Religion Alone</w:t>
            </w:r>
          </w:p>
        </w:tc>
        <w:tc>
          <w:tcPr>
            <w:tcW w:w="0" w:type="auto"/>
            <w:vAlign w:val="center"/>
            <w:hideMark/>
          </w:tcPr>
          <w:p w14:paraId="7D11F810"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 to 1</w:t>
            </w:r>
          </w:p>
        </w:tc>
        <w:tc>
          <w:tcPr>
            <w:tcW w:w="0" w:type="auto"/>
            <w:vAlign w:val="center"/>
            <w:hideMark/>
          </w:tcPr>
          <w:p w14:paraId="35667519"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NA</w:t>
            </w:r>
          </w:p>
        </w:tc>
        <w:tc>
          <w:tcPr>
            <w:tcW w:w="0" w:type="auto"/>
            <w:vAlign w:val="center"/>
            <w:hideMark/>
          </w:tcPr>
          <w:p w14:paraId="36A72084"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-0.029</w:t>
            </w:r>
          </w:p>
        </w:tc>
        <w:tc>
          <w:tcPr>
            <w:tcW w:w="0" w:type="auto"/>
            <w:vAlign w:val="center"/>
            <w:hideMark/>
          </w:tcPr>
          <w:p w14:paraId="44973907"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-0.051</w:t>
            </w:r>
          </w:p>
        </w:tc>
        <w:tc>
          <w:tcPr>
            <w:tcW w:w="0" w:type="auto"/>
            <w:vAlign w:val="center"/>
            <w:hideMark/>
          </w:tcPr>
          <w:p w14:paraId="7873898C"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-0.008</w:t>
            </w:r>
          </w:p>
        </w:tc>
      </w:tr>
      <w:tr w:rsidR="00B46696" w:rsidRPr="00B46696" w14:paraId="7691690B" w14:textId="77777777" w:rsidTr="00B46696">
        <w:trPr>
          <w:tblCellSpacing w:w="15" w:type="dxa"/>
        </w:trPr>
        <w:tc>
          <w:tcPr>
            <w:tcW w:w="0" w:type="auto"/>
            <w:vAlign w:val="center"/>
            <w:hideMark/>
          </w:tcPr>
          <w:p w14:paraId="14F874D8" w14:textId="77777777" w:rsidR="00B46696" w:rsidRPr="00B46696" w:rsidRDefault="00B46696" w:rsidP="00B46696">
            <w:pPr>
              <w:rPr>
                <w:rFonts w:eastAsia="Times New Roman" w:cs="Times New Roman"/>
                <w:szCs w:val="24"/>
              </w:rPr>
            </w:pPr>
            <w:r w:rsidRPr="00B46696">
              <w:rPr>
                <w:rFonts w:eastAsia="Times New Roman" w:cs="Times New Roman"/>
                <w:szCs w:val="24"/>
              </w:rPr>
              <w:t>M2: Membership Practices Alone</w:t>
            </w:r>
          </w:p>
        </w:tc>
        <w:tc>
          <w:tcPr>
            <w:tcW w:w="0" w:type="auto"/>
            <w:vAlign w:val="center"/>
            <w:hideMark/>
          </w:tcPr>
          <w:p w14:paraId="1AA74442"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NA</w:t>
            </w:r>
          </w:p>
        </w:tc>
        <w:tc>
          <w:tcPr>
            <w:tcW w:w="0" w:type="auto"/>
            <w:vAlign w:val="center"/>
            <w:hideMark/>
          </w:tcPr>
          <w:p w14:paraId="1DF25DE3"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 to 1</w:t>
            </w:r>
          </w:p>
        </w:tc>
        <w:tc>
          <w:tcPr>
            <w:tcW w:w="0" w:type="auto"/>
            <w:vAlign w:val="center"/>
            <w:hideMark/>
          </w:tcPr>
          <w:p w14:paraId="760892FF"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-0.047</w:t>
            </w:r>
          </w:p>
        </w:tc>
        <w:tc>
          <w:tcPr>
            <w:tcW w:w="0" w:type="auto"/>
            <w:vAlign w:val="center"/>
            <w:hideMark/>
          </w:tcPr>
          <w:p w14:paraId="41FC300E"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-0.083</w:t>
            </w:r>
          </w:p>
        </w:tc>
        <w:tc>
          <w:tcPr>
            <w:tcW w:w="0" w:type="auto"/>
            <w:vAlign w:val="center"/>
            <w:hideMark/>
          </w:tcPr>
          <w:p w14:paraId="02CC66D3"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-0.024</w:t>
            </w:r>
          </w:p>
        </w:tc>
      </w:tr>
      <w:tr w:rsidR="00B46696" w:rsidRPr="00B46696" w14:paraId="00F2DD3E" w14:textId="77777777" w:rsidTr="00B46696">
        <w:trPr>
          <w:tblCellSpacing w:w="15" w:type="dxa"/>
        </w:trPr>
        <w:tc>
          <w:tcPr>
            <w:tcW w:w="0" w:type="auto"/>
            <w:vAlign w:val="center"/>
            <w:hideMark/>
          </w:tcPr>
          <w:p w14:paraId="4377B446" w14:textId="77777777" w:rsidR="00B46696" w:rsidRPr="00B46696" w:rsidRDefault="00B46696" w:rsidP="00B46696">
            <w:pPr>
              <w:rPr>
                <w:rFonts w:eastAsia="Times New Roman" w:cs="Times New Roman"/>
                <w:szCs w:val="24"/>
              </w:rPr>
            </w:pPr>
            <w:r w:rsidRPr="00B46696">
              <w:rPr>
                <w:rFonts w:eastAsia="Times New Roman" w:cs="Times New Roman"/>
                <w:szCs w:val="24"/>
              </w:rPr>
              <w:t>M3: Religion with Controls</w:t>
            </w:r>
          </w:p>
        </w:tc>
        <w:tc>
          <w:tcPr>
            <w:tcW w:w="0" w:type="auto"/>
            <w:vAlign w:val="center"/>
            <w:hideMark/>
          </w:tcPr>
          <w:p w14:paraId="624BB3C6"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 to 1</w:t>
            </w:r>
          </w:p>
        </w:tc>
        <w:tc>
          <w:tcPr>
            <w:tcW w:w="0" w:type="auto"/>
            <w:vAlign w:val="center"/>
            <w:hideMark/>
          </w:tcPr>
          <w:p w14:paraId="0D3CA4AD"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NA</w:t>
            </w:r>
          </w:p>
        </w:tc>
        <w:tc>
          <w:tcPr>
            <w:tcW w:w="0" w:type="auto"/>
            <w:vAlign w:val="center"/>
            <w:hideMark/>
          </w:tcPr>
          <w:p w14:paraId="6A8629FB"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-0.032</w:t>
            </w:r>
          </w:p>
        </w:tc>
        <w:tc>
          <w:tcPr>
            <w:tcW w:w="0" w:type="auto"/>
            <w:vAlign w:val="center"/>
            <w:hideMark/>
          </w:tcPr>
          <w:p w14:paraId="380577AC"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-0.053</w:t>
            </w:r>
          </w:p>
        </w:tc>
        <w:tc>
          <w:tcPr>
            <w:tcW w:w="0" w:type="auto"/>
            <w:vAlign w:val="center"/>
            <w:hideMark/>
          </w:tcPr>
          <w:p w14:paraId="44CCD421"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-0.011</w:t>
            </w:r>
          </w:p>
        </w:tc>
      </w:tr>
      <w:tr w:rsidR="00B46696" w:rsidRPr="00B46696" w14:paraId="79DA9F31" w14:textId="77777777" w:rsidTr="00B46696">
        <w:trPr>
          <w:tblCellSpacing w:w="15" w:type="dxa"/>
        </w:trPr>
        <w:tc>
          <w:tcPr>
            <w:tcW w:w="0" w:type="auto"/>
            <w:vAlign w:val="center"/>
            <w:hideMark/>
          </w:tcPr>
          <w:p w14:paraId="001E528B" w14:textId="77777777" w:rsidR="00B46696" w:rsidRPr="00B46696" w:rsidRDefault="00B46696" w:rsidP="00B46696">
            <w:pPr>
              <w:rPr>
                <w:rFonts w:eastAsia="Times New Roman" w:cs="Times New Roman"/>
                <w:szCs w:val="24"/>
              </w:rPr>
            </w:pPr>
            <w:r w:rsidRPr="00B46696">
              <w:rPr>
                <w:rFonts w:eastAsia="Times New Roman" w:cs="Times New Roman"/>
                <w:szCs w:val="24"/>
              </w:rPr>
              <w:t>M4: Membership Practices with Controls</w:t>
            </w:r>
          </w:p>
        </w:tc>
        <w:tc>
          <w:tcPr>
            <w:tcW w:w="0" w:type="auto"/>
            <w:vAlign w:val="center"/>
            <w:hideMark/>
          </w:tcPr>
          <w:p w14:paraId="265148C2"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NA</w:t>
            </w:r>
          </w:p>
        </w:tc>
        <w:tc>
          <w:tcPr>
            <w:tcW w:w="0" w:type="auto"/>
            <w:vAlign w:val="center"/>
            <w:hideMark/>
          </w:tcPr>
          <w:p w14:paraId="17610A8A"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 to 1</w:t>
            </w:r>
          </w:p>
        </w:tc>
        <w:tc>
          <w:tcPr>
            <w:tcW w:w="0" w:type="auto"/>
            <w:vAlign w:val="center"/>
            <w:hideMark/>
          </w:tcPr>
          <w:p w14:paraId="00DE05DC"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-0.045</w:t>
            </w:r>
          </w:p>
        </w:tc>
        <w:tc>
          <w:tcPr>
            <w:tcW w:w="0" w:type="auto"/>
            <w:vAlign w:val="center"/>
            <w:hideMark/>
          </w:tcPr>
          <w:p w14:paraId="60938576"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-0.082</w:t>
            </w:r>
          </w:p>
        </w:tc>
        <w:tc>
          <w:tcPr>
            <w:tcW w:w="0" w:type="auto"/>
            <w:vAlign w:val="center"/>
            <w:hideMark/>
          </w:tcPr>
          <w:p w14:paraId="1673F715"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-0.020</w:t>
            </w:r>
          </w:p>
        </w:tc>
      </w:tr>
      <w:tr w:rsidR="00B46696" w:rsidRPr="00B46696" w14:paraId="22EF270E" w14:textId="77777777" w:rsidTr="00B46696">
        <w:trPr>
          <w:tblCellSpacing w:w="15" w:type="dxa"/>
        </w:trPr>
        <w:tc>
          <w:tcPr>
            <w:tcW w:w="0" w:type="auto"/>
            <w:vAlign w:val="center"/>
            <w:hideMark/>
          </w:tcPr>
          <w:p w14:paraId="531A0E57" w14:textId="77777777" w:rsidR="00B46696" w:rsidRPr="00B46696" w:rsidRDefault="00B46696" w:rsidP="00B46696">
            <w:pPr>
              <w:rPr>
                <w:rFonts w:eastAsia="Times New Roman" w:cs="Times New Roman"/>
                <w:szCs w:val="24"/>
              </w:rPr>
            </w:pPr>
            <w:r w:rsidRPr="00B46696">
              <w:rPr>
                <w:rFonts w:eastAsia="Times New Roman" w:cs="Times New Roman"/>
                <w:szCs w:val="24"/>
              </w:rPr>
              <w:t>M5: Both</w:t>
            </w:r>
          </w:p>
        </w:tc>
        <w:tc>
          <w:tcPr>
            <w:tcW w:w="0" w:type="auto"/>
            <w:vAlign w:val="center"/>
            <w:hideMark/>
          </w:tcPr>
          <w:p w14:paraId="29A4FD0B"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 to 1</w:t>
            </w:r>
          </w:p>
        </w:tc>
        <w:tc>
          <w:tcPr>
            <w:tcW w:w="0" w:type="auto"/>
            <w:vAlign w:val="center"/>
            <w:hideMark/>
          </w:tcPr>
          <w:p w14:paraId="398C55E1"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Observed</w:t>
            </w:r>
          </w:p>
        </w:tc>
        <w:tc>
          <w:tcPr>
            <w:tcW w:w="0" w:type="auto"/>
            <w:vAlign w:val="center"/>
            <w:hideMark/>
          </w:tcPr>
          <w:p w14:paraId="57C76C22"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-0.021</w:t>
            </w:r>
          </w:p>
        </w:tc>
        <w:tc>
          <w:tcPr>
            <w:tcW w:w="0" w:type="auto"/>
            <w:vAlign w:val="center"/>
            <w:hideMark/>
          </w:tcPr>
          <w:p w14:paraId="188C3490"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-0.042</w:t>
            </w:r>
          </w:p>
        </w:tc>
        <w:tc>
          <w:tcPr>
            <w:tcW w:w="0" w:type="auto"/>
            <w:vAlign w:val="center"/>
            <w:hideMark/>
          </w:tcPr>
          <w:p w14:paraId="55C9347B"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0.001</w:t>
            </w:r>
          </w:p>
        </w:tc>
      </w:tr>
      <w:tr w:rsidR="00B46696" w:rsidRPr="00B46696" w14:paraId="57D3DF03" w14:textId="77777777" w:rsidTr="00B46696">
        <w:trPr>
          <w:tblCellSpacing w:w="15" w:type="dxa"/>
        </w:trPr>
        <w:tc>
          <w:tcPr>
            <w:tcW w:w="0" w:type="auto"/>
            <w:vAlign w:val="center"/>
            <w:hideMark/>
          </w:tcPr>
          <w:p w14:paraId="4BBA0BCB" w14:textId="77777777" w:rsidR="00B46696" w:rsidRPr="00B46696" w:rsidRDefault="00B46696" w:rsidP="00B46696">
            <w:pPr>
              <w:rPr>
                <w:rFonts w:eastAsia="Times New Roman" w:cs="Times New Roman"/>
                <w:szCs w:val="24"/>
              </w:rPr>
            </w:pPr>
            <w:r w:rsidRPr="00B46696">
              <w:rPr>
                <w:rFonts w:eastAsia="Times New Roman" w:cs="Times New Roman"/>
                <w:szCs w:val="24"/>
              </w:rPr>
              <w:t>M5: Both</w:t>
            </w:r>
          </w:p>
        </w:tc>
        <w:tc>
          <w:tcPr>
            <w:tcW w:w="0" w:type="auto"/>
            <w:vAlign w:val="center"/>
            <w:hideMark/>
          </w:tcPr>
          <w:p w14:paraId="3B633E11"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Observed</w:t>
            </w:r>
          </w:p>
        </w:tc>
        <w:tc>
          <w:tcPr>
            <w:tcW w:w="0" w:type="auto"/>
            <w:vAlign w:val="center"/>
            <w:hideMark/>
          </w:tcPr>
          <w:p w14:paraId="6950EB6A"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 to 1</w:t>
            </w:r>
          </w:p>
        </w:tc>
        <w:tc>
          <w:tcPr>
            <w:tcW w:w="0" w:type="auto"/>
            <w:vAlign w:val="center"/>
            <w:hideMark/>
          </w:tcPr>
          <w:p w14:paraId="60642828"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-0.039</w:t>
            </w:r>
          </w:p>
        </w:tc>
        <w:tc>
          <w:tcPr>
            <w:tcW w:w="0" w:type="auto"/>
            <w:vAlign w:val="center"/>
            <w:hideMark/>
          </w:tcPr>
          <w:p w14:paraId="7D6580E3"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-0.068</w:t>
            </w:r>
          </w:p>
        </w:tc>
        <w:tc>
          <w:tcPr>
            <w:tcW w:w="0" w:type="auto"/>
            <w:vAlign w:val="center"/>
            <w:hideMark/>
          </w:tcPr>
          <w:p w14:paraId="3A0E760F"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-0.015</w:t>
            </w:r>
          </w:p>
        </w:tc>
      </w:tr>
      <w:tr w:rsidR="00B46696" w:rsidRPr="00B46696" w14:paraId="7D6D48C2" w14:textId="77777777" w:rsidTr="00B46696">
        <w:trPr>
          <w:tblCellSpacing w:w="15" w:type="dxa"/>
        </w:trPr>
        <w:tc>
          <w:tcPr>
            <w:tcW w:w="0" w:type="auto"/>
            <w:vAlign w:val="center"/>
            <w:hideMark/>
          </w:tcPr>
          <w:p w14:paraId="761F4D74" w14:textId="77777777" w:rsidR="00B46696" w:rsidRPr="00B46696" w:rsidRDefault="00B46696" w:rsidP="00B46696">
            <w:pPr>
              <w:rPr>
                <w:rFonts w:eastAsia="Times New Roman" w:cs="Times New Roman"/>
                <w:szCs w:val="24"/>
              </w:rPr>
            </w:pPr>
            <w:r w:rsidRPr="00B46696">
              <w:rPr>
                <w:rFonts w:eastAsia="Times New Roman" w:cs="Times New Roman"/>
                <w:szCs w:val="24"/>
              </w:rPr>
              <w:t>M6: Both with Controls</w:t>
            </w:r>
          </w:p>
        </w:tc>
        <w:tc>
          <w:tcPr>
            <w:tcW w:w="0" w:type="auto"/>
            <w:vAlign w:val="center"/>
            <w:hideMark/>
          </w:tcPr>
          <w:p w14:paraId="29EB5367"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 to 1</w:t>
            </w:r>
          </w:p>
        </w:tc>
        <w:tc>
          <w:tcPr>
            <w:tcW w:w="0" w:type="auto"/>
            <w:vAlign w:val="center"/>
            <w:hideMark/>
          </w:tcPr>
          <w:p w14:paraId="43EB5E6D"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Observed</w:t>
            </w:r>
          </w:p>
        </w:tc>
        <w:tc>
          <w:tcPr>
            <w:tcW w:w="0" w:type="auto"/>
            <w:vAlign w:val="center"/>
            <w:hideMark/>
          </w:tcPr>
          <w:p w14:paraId="3792446E"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-0.024</w:t>
            </w:r>
          </w:p>
        </w:tc>
        <w:tc>
          <w:tcPr>
            <w:tcW w:w="0" w:type="auto"/>
            <w:vAlign w:val="center"/>
            <w:hideMark/>
          </w:tcPr>
          <w:p w14:paraId="0157F8B8"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-0.044</w:t>
            </w:r>
          </w:p>
        </w:tc>
        <w:tc>
          <w:tcPr>
            <w:tcW w:w="0" w:type="auto"/>
            <w:vAlign w:val="center"/>
            <w:hideMark/>
          </w:tcPr>
          <w:p w14:paraId="26ED6CA2"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0.001</w:t>
            </w:r>
          </w:p>
        </w:tc>
      </w:tr>
      <w:tr w:rsidR="00B46696" w:rsidRPr="00B46696" w14:paraId="07DE128C" w14:textId="77777777" w:rsidTr="00B46696">
        <w:trPr>
          <w:tblCellSpacing w:w="15" w:type="dxa"/>
        </w:trPr>
        <w:tc>
          <w:tcPr>
            <w:tcW w:w="0" w:type="auto"/>
            <w:vAlign w:val="center"/>
            <w:hideMark/>
          </w:tcPr>
          <w:p w14:paraId="648D31DF" w14:textId="77777777" w:rsidR="00B46696" w:rsidRPr="00B46696" w:rsidRDefault="00B46696" w:rsidP="00B46696">
            <w:pPr>
              <w:rPr>
                <w:rFonts w:eastAsia="Times New Roman" w:cs="Times New Roman"/>
                <w:szCs w:val="24"/>
              </w:rPr>
            </w:pPr>
            <w:r w:rsidRPr="00B46696">
              <w:rPr>
                <w:rFonts w:eastAsia="Times New Roman" w:cs="Times New Roman"/>
                <w:szCs w:val="24"/>
              </w:rPr>
              <w:t>M6: Both with Controls</w:t>
            </w:r>
          </w:p>
        </w:tc>
        <w:tc>
          <w:tcPr>
            <w:tcW w:w="0" w:type="auto"/>
            <w:vAlign w:val="center"/>
            <w:hideMark/>
          </w:tcPr>
          <w:p w14:paraId="17BF361E"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Observed</w:t>
            </w:r>
          </w:p>
        </w:tc>
        <w:tc>
          <w:tcPr>
            <w:tcW w:w="0" w:type="auto"/>
            <w:vAlign w:val="center"/>
            <w:hideMark/>
          </w:tcPr>
          <w:p w14:paraId="1D8BEB47"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 to 1</w:t>
            </w:r>
          </w:p>
        </w:tc>
        <w:tc>
          <w:tcPr>
            <w:tcW w:w="0" w:type="auto"/>
            <w:vAlign w:val="center"/>
            <w:hideMark/>
          </w:tcPr>
          <w:p w14:paraId="1BCDB61F"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-0.035</w:t>
            </w:r>
          </w:p>
        </w:tc>
        <w:tc>
          <w:tcPr>
            <w:tcW w:w="0" w:type="auto"/>
            <w:vAlign w:val="center"/>
            <w:hideMark/>
          </w:tcPr>
          <w:p w14:paraId="3DD086FF"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-0.067</w:t>
            </w:r>
          </w:p>
        </w:tc>
        <w:tc>
          <w:tcPr>
            <w:tcW w:w="0" w:type="auto"/>
            <w:vAlign w:val="center"/>
            <w:hideMark/>
          </w:tcPr>
          <w:p w14:paraId="03D7C646" w14:textId="77777777" w:rsidR="00B46696" w:rsidRPr="00B46696" w:rsidRDefault="00B46696" w:rsidP="00B46696">
            <w:pPr>
              <w:jc w:val="center"/>
              <w:rPr>
                <w:rFonts w:eastAsia="Times New Roman" w:cs="Times New Roman"/>
                <w:szCs w:val="24"/>
              </w:rPr>
            </w:pPr>
            <w:r w:rsidRPr="00B46696">
              <w:rPr>
                <w:rFonts w:eastAsia="Times New Roman" w:cs="Times New Roman"/>
                <w:szCs w:val="24"/>
              </w:rPr>
              <w:t>-0.011</w:t>
            </w:r>
          </w:p>
        </w:tc>
      </w:tr>
      <w:tr w:rsidR="00B46696" w:rsidRPr="00B46696" w14:paraId="03C1D913" w14:textId="77777777" w:rsidTr="00B46696">
        <w:trPr>
          <w:tblCellSpacing w:w="15" w:type="dxa"/>
        </w:trPr>
        <w:tc>
          <w:tcPr>
            <w:tcW w:w="0" w:type="auto"/>
            <w:gridSpan w:val="6"/>
            <w:tcBorders>
              <w:bottom w:val="single" w:sz="6" w:space="0" w:color="000000"/>
            </w:tcBorders>
            <w:vAlign w:val="center"/>
            <w:hideMark/>
          </w:tcPr>
          <w:p w14:paraId="6D7A314A" w14:textId="77777777" w:rsidR="00B46696" w:rsidRPr="00B46696" w:rsidRDefault="00B46696" w:rsidP="00B46696">
            <w:pPr>
              <w:jc w:val="center"/>
              <w:rPr>
                <w:rFonts w:eastAsia="Times New Roman" w:cs="Times New Roman"/>
                <w:szCs w:val="24"/>
              </w:rPr>
            </w:pPr>
          </w:p>
        </w:tc>
      </w:tr>
    </w:tbl>
    <w:p w14:paraId="11DECE85" w14:textId="472BD598" w:rsidR="00973D19" w:rsidRDefault="00973D19"/>
    <w:p w14:paraId="3851658C" w14:textId="52955417" w:rsidR="00973D19" w:rsidRPr="00256048" w:rsidRDefault="00973D19" w:rsidP="00256048">
      <w:pPr>
        <w:spacing w:line="480" w:lineRule="auto"/>
        <w:rPr>
          <w:b/>
          <w:bCs/>
        </w:rPr>
      </w:pPr>
      <w:r w:rsidRPr="00256048">
        <w:rPr>
          <w:b/>
          <w:bCs/>
        </w:rPr>
        <w:lastRenderedPageBreak/>
        <w:t xml:space="preserve">Table </w:t>
      </w:r>
      <w:r w:rsidR="00B46696">
        <w:rPr>
          <w:b/>
          <w:bCs/>
        </w:rPr>
        <w:t>6</w:t>
      </w:r>
      <w:r w:rsidRPr="00256048">
        <w:rPr>
          <w:b/>
          <w:bCs/>
        </w:rPr>
        <w:t>: Logistic Regression Coefficients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1035"/>
        <w:gridCol w:w="1633"/>
        <w:gridCol w:w="1201"/>
        <w:gridCol w:w="1800"/>
        <w:gridCol w:w="858"/>
        <w:gridCol w:w="1134"/>
      </w:tblGrid>
      <w:tr w:rsidR="00973D19" w:rsidRPr="000E28FB" w14:paraId="7780BADB" w14:textId="77777777" w:rsidTr="002465EC">
        <w:trPr>
          <w:tblCellSpacing w:w="15" w:type="dxa"/>
        </w:trPr>
        <w:tc>
          <w:tcPr>
            <w:tcW w:w="0" w:type="auto"/>
            <w:gridSpan w:val="7"/>
            <w:tcBorders>
              <w:bottom w:val="single" w:sz="6" w:space="0" w:color="000000"/>
            </w:tcBorders>
            <w:vAlign w:val="center"/>
            <w:hideMark/>
          </w:tcPr>
          <w:p w14:paraId="006235F6" w14:textId="77777777" w:rsidR="00973D19" w:rsidRDefault="00973D19" w:rsidP="002465EC">
            <w:pPr>
              <w:rPr>
                <w:sz w:val="20"/>
                <w:szCs w:val="20"/>
              </w:rPr>
            </w:pPr>
          </w:p>
          <w:p w14:paraId="5EC99C5E" w14:textId="00649200" w:rsidR="00973D19" w:rsidRPr="000E28FB" w:rsidRDefault="00973D19" w:rsidP="002465EC">
            <w:pPr>
              <w:rPr>
                <w:sz w:val="20"/>
                <w:szCs w:val="20"/>
              </w:rPr>
            </w:pPr>
          </w:p>
        </w:tc>
      </w:tr>
      <w:tr w:rsidR="00973D19" w:rsidRPr="000E28FB" w14:paraId="61EBC2D2" w14:textId="77777777" w:rsidTr="002465EC">
        <w:trPr>
          <w:tblCellSpacing w:w="15" w:type="dxa"/>
        </w:trPr>
        <w:tc>
          <w:tcPr>
            <w:tcW w:w="0" w:type="auto"/>
            <w:vAlign w:val="center"/>
            <w:hideMark/>
          </w:tcPr>
          <w:p w14:paraId="208D554D" w14:textId="77777777" w:rsidR="00973D19" w:rsidRPr="000E28FB" w:rsidRDefault="00973D19" w:rsidP="002465EC">
            <w:pPr>
              <w:jc w:val="center"/>
              <w:rPr>
                <w:sz w:val="20"/>
                <w:szCs w:val="20"/>
              </w:rPr>
            </w:pPr>
          </w:p>
        </w:tc>
        <w:tc>
          <w:tcPr>
            <w:tcW w:w="0" w:type="auto"/>
            <w:gridSpan w:val="6"/>
            <w:vAlign w:val="center"/>
            <w:hideMark/>
          </w:tcPr>
          <w:p w14:paraId="690E3A9F" w14:textId="77777777" w:rsidR="00973D19" w:rsidRPr="000E28FB" w:rsidRDefault="00973D19" w:rsidP="002465EC">
            <w:pPr>
              <w:jc w:val="center"/>
            </w:pPr>
            <w:r w:rsidRPr="000E28FB">
              <w:t>Dependent Variable: Likelihood of Ending Activity in the Year</w:t>
            </w:r>
          </w:p>
        </w:tc>
      </w:tr>
      <w:tr w:rsidR="00973D19" w:rsidRPr="000E28FB" w14:paraId="1F37C254" w14:textId="77777777" w:rsidTr="002465EC">
        <w:trPr>
          <w:tblCellSpacing w:w="15" w:type="dxa"/>
        </w:trPr>
        <w:tc>
          <w:tcPr>
            <w:tcW w:w="0" w:type="auto"/>
            <w:vAlign w:val="center"/>
            <w:hideMark/>
          </w:tcPr>
          <w:p w14:paraId="2C9DE30F" w14:textId="77777777" w:rsidR="00973D19" w:rsidRPr="000E28FB" w:rsidRDefault="00973D19" w:rsidP="002465EC">
            <w:pPr>
              <w:jc w:val="center"/>
            </w:pPr>
          </w:p>
        </w:tc>
        <w:tc>
          <w:tcPr>
            <w:tcW w:w="0" w:type="auto"/>
            <w:gridSpan w:val="6"/>
            <w:tcBorders>
              <w:bottom w:val="single" w:sz="6" w:space="0" w:color="000000"/>
            </w:tcBorders>
            <w:vAlign w:val="center"/>
            <w:hideMark/>
          </w:tcPr>
          <w:p w14:paraId="401C7816" w14:textId="77777777" w:rsidR="00973D19" w:rsidRPr="000E28FB" w:rsidRDefault="00973D19" w:rsidP="002465EC">
            <w:pPr>
              <w:jc w:val="center"/>
              <w:rPr>
                <w:sz w:val="20"/>
                <w:szCs w:val="20"/>
              </w:rPr>
            </w:pPr>
          </w:p>
        </w:tc>
      </w:tr>
      <w:tr w:rsidR="00B46696" w:rsidRPr="000E28FB" w14:paraId="3E73E60C" w14:textId="77777777" w:rsidTr="002465EC">
        <w:trPr>
          <w:tblCellSpacing w:w="15" w:type="dxa"/>
        </w:trPr>
        <w:tc>
          <w:tcPr>
            <w:tcW w:w="0" w:type="auto"/>
            <w:vAlign w:val="center"/>
            <w:hideMark/>
          </w:tcPr>
          <w:p w14:paraId="3926DE4B" w14:textId="77777777" w:rsidR="00973D19" w:rsidRPr="000E28FB" w:rsidRDefault="00973D19" w:rsidP="002465EC">
            <w:pPr>
              <w:jc w:val="center"/>
              <w:rPr>
                <w:sz w:val="20"/>
                <w:szCs w:val="20"/>
              </w:rPr>
            </w:pPr>
          </w:p>
        </w:tc>
        <w:tc>
          <w:tcPr>
            <w:tcW w:w="0" w:type="auto"/>
            <w:vAlign w:val="center"/>
            <w:hideMark/>
          </w:tcPr>
          <w:p w14:paraId="232AAB8E" w14:textId="38777CB8" w:rsidR="00973D19" w:rsidRPr="000E28FB" w:rsidRDefault="00973D19" w:rsidP="002465EC">
            <w:pPr>
              <w:jc w:val="center"/>
            </w:pPr>
            <w:r w:rsidRPr="000E28FB">
              <w:t>Religion Alone</w:t>
            </w:r>
          </w:p>
        </w:tc>
        <w:tc>
          <w:tcPr>
            <w:tcW w:w="0" w:type="auto"/>
            <w:vAlign w:val="center"/>
            <w:hideMark/>
          </w:tcPr>
          <w:p w14:paraId="370424ED" w14:textId="76A9B08C" w:rsidR="00973D19" w:rsidRPr="000E28FB" w:rsidRDefault="00973D19" w:rsidP="002465EC">
            <w:pPr>
              <w:jc w:val="center"/>
            </w:pPr>
            <w:r w:rsidRPr="000E28FB">
              <w:t>Membership Practices Alone</w:t>
            </w:r>
          </w:p>
        </w:tc>
        <w:tc>
          <w:tcPr>
            <w:tcW w:w="0" w:type="auto"/>
            <w:vAlign w:val="center"/>
            <w:hideMark/>
          </w:tcPr>
          <w:p w14:paraId="350976BC" w14:textId="2B64C01F" w:rsidR="00973D19" w:rsidRPr="000E28FB" w:rsidRDefault="00973D19" w:rsidP="002465EC">
            <w:pPr>
              <w:jc w:val="center"/>
            </w:pPr>
            <w:r w:rsidRPr="000E28FB">
              <w:t>Religion with Controls</w:t>
            </w:r>
          </w:p>
        </w:tc>
        <w:tc>
          <w:tcPr>
            <w:tcW w:w="0" w:type="auto"/>
            <w:vAlign w:val="center"/>
            <w:hideMark/>
          </w:tcPr>
          <w:p w14:paraId="471CCD95" w14:textId="320004B6" w:rsidR="00973D19" w:rsidRPr="000E28FB" w:rsidRDefault="00973D19" w:rsidP="002465EC">
            <w:pPr>
              <w:jc w:val="center"/>
            </w:pPr>
            <w:r w:rsidRPr="000E28FB">
              <w:t>Membership Practices with Controls</w:t>
            </w:r>
          </w:p>
        </w:tc>
        <w:tc>
          <w:tcPr>
            <w:tcW w:w="0" w:type="auto"/>
            <w:vAlign w:val="center"/>
            <w:hideMark/>
          </w:tcPr>
          <w:p w14:paraId="3707AB51" w14:textId="213A6B5D" w:rsidR="00973D19" w:rsidRPr="000E28FB" w:rsidRDefault="00973D19" w:rsidP="002465EC">
            <w:pPr>
              <w:jc w:val="center"/>
            </w:pPr>
            <w:r w:rsidRPr="000E28FB">
              <w:t>Both</w:t>
            </w:r>
          </w:p>
        </w:tc>
        <w:tc>
          <w:tcPr>
            <w:tcW w:w="0" w:type="auto"/>
            <w:vAlign w:val="center"/>
            <w:hideMark/>
          </w:tcPr>
          <w:p w14:paraId="3C440244" w14:textId="6702550A" w:rsidR="00973D19" w:rsidRPr="000E28FB" w:rsidRDefault="00973D19" w:rsidP="002465EC">
            <w:pPr>
              <w:jc w:val="center"/>
            </w:pPr>
            <w:r w:rsidRPr="000E28FB">
              <w:t>Both with Controls</w:t>
            </w:r>
          </w:p>
        </w:tc>
      </w:tr>
      <w:tr w:rsidR="00B46696" w:rsidRPr="000E28FB" w14:paraId="0F3478BE" w14:textId="77777777" w:rsidTr="002465EC">
        <w:trPr>
          <w:tblCellSpacing w:w="15" w:type="dxa"/>
        </w:trPr>
        <w:tc>
          <w:tcPr>
            <w:tcW w:w="0" w:type="auto"/>
            <w:vAlign w:val="center"/>
            <w:hideMark/>
          </w:tcPr>
          <w:p w14:paraId="61776A34" w14:textId="77777777" w:rsidR="00973D19" w:rsidRPr="000E28FB" w:rsidRDefault="00973D19" w:rsidP="002465EC">
            <w:pPr>
              <w:jc w:val="center"/>
            </w:pPr>
          </w:p>
        </w:tc>
        <w:tc>
          <w:tcPr>
            <w:tcW w:w="0" w:type="auto"/>
            <w:vAlign w:val="center"/>
            <w:hideMark/>
          </w:tcPr>
          <w:p w14:paraId="3D323292" w14:textId="77777777" w:rsidR="00973D19" w:rsidRPr="000E28FB" w:rsidRDefault="00973D19" w:rsidP="002465EC">
            <w:pPr>
              <w:jc w:val="center"/>
            </w:pPr>
            <w:r w:rsidRPr="000E28FB">
              <w:t>(1)</w:t>
            </w:r>
          </w:p>
        </w:tc>
        <w:tc>
          <w:tcPr>
            <w:tcW w:w="0" w:type="auto"/>
            <w:vAlign w:val="center"/>
            <w:hideMark/>
          </w:tcPr>
          <w:p w14:paraId="49CAD12C" w14:textId="77777777" w:rsidR="00973D19" w:rsidRPr="000E28FB" w:rsidRDefault="00973D19" w:rsidP="002465EC">
            <w:pPr>
              <w:jc w:val="center"/>
            </w:pPr>
            <w:r w:rsidRPr="000E28FB">
              <w:t>(2)</w:t>
            </w:r>
          </w:p>
        </w:tc>
        <w:tc>
          <w:tcPr>
            <w:tcW w:w="0" w:type="auto"/>
            <w:vAlign w:val="center"/>
            <w:hideMark/>
          </w:tcPr>
          <w:p w14:paraId="04C75F6D" w14:textId="77777777" w:rsidR="00973D19" w:rsidRPr="000E28FB" w:rsidRDefault="00973D19" w:rsidP="002465EC">
            <w:pPr>
              <w:jc w:val="center"/>
            </w:pPr>
            <w:r w:rsidRPr="000E28FB">
              <w:t>(3)</w:t>
            </w:r>
          </w:p>
        </w:tc>
        <w:tc>
          <w:tcPr>
            <w:tcW w:w="0" w:type="auto"/>
            <w:vAlign w:val="center"/>
            <w:hideMark/>
          </w:tcPr>
          <w:p w14:paraId="6FA49549" w14:textId="77777777" w:rsidR="00973D19" w:rsidRPr="000E28FB" w:rsidRDefault="00973D19" w:rsidP="002465EC">
            <w:pPr>
              <w:jc w:val="center"/>
            </w:pPr>
            <w:r w:rsidRPr="000E28FB">
              <w:t>(4)</w:t>
            </w:r>
          </w:p>
        </w:tc>
        <w:tc>
          <w:tcPr>
            <w:tcW w:w="0" w:type="auto"/>
            <w:vAlign w:val="center"/>
            <w:hideMark/>
          </w:tcPr>
          <w:p w14:paraId="180016AB" w14:textId="77777777" w:rsidR="00973D19" w:rsidRPr="000E28FB" w:rsidRDefault="00973D19" w:rsidP="002465EC">
            <w:pPr>
              <w:jc w:val="center"/>
            </w:pPr>
            <w:r w:rsidRPr="000E28FB">
              <w:t>(5)</w:t>
            </w:r>
          </w:p>
        </w:tc>
        <w:tc>
          <w:tcPr>
            <w:tcW w:w="0" w:type="auto"/>
            <w:vAlign w:val="center"/>
            <w:hideMark/>
          </w:tcPr>
          <w:p w14:paraId="56726F6B" w14:textId="77777777" w:rsidR="00973D19" w:rsidRPr="000E28FB" w:rsidRDefault="00973D19" w:rsidP="002465EC">
            <w:pPr>
              <w:jc w:val="center"/>
            </w:pPr>
            <w:r w:rsidRPr="000E28FB">
              <w:t>(6)</w:t>
            </w:r>
          </w:p>
        </w:tc>
      </w:tr>
      <w:tr w:rsidR="00973D19" w:rsidRPr="000E28FB" w14:paraId="63E80C5D" w14:textId="77777777" w:rsidTr="002465EC">
        <w:trPr>
          <w:tblCellSpacing w:w="15" w:type="dxa"/>
        </w:trPr>
        <w:tc>
          <w:tcPr>
            <w:tcW w:w="0" w:type="auto"/>
            <w:gridSpan w:val="7"/>
            <w:tcBorders>
              <w:bottom w:val="single" w:sz="6" w:space="0" w:color="000000"/>
            </w:tcBorders>
            <w:vAlign w:val="center"/>
            <w:hideMark/>
          </w:tcPr>
          <w:p w14:paraId="6B74337C" w14:textId="77777777" w:rsidR="00973D19" w:rsidRPr="000E28FB" w:rsidRDefault="00973D19" w:rsidP="002465EC">
            <w:pPr>
              <w:jc w:val="center"/>
            </w:pPr>
          </w:p>
        </w:tc>
      </w:tr>
      <w:tr w:rsidR="00B46696" w:rsidRPr="000E28FB" w14:paraId="3EDB5B76" w14:textId="77777777" w:rsidTr="002465EC">
        <w:trPr>
          <w:tblCellSpacing w:w="15" w:type="dxa"/>
        </w:trPr>
        <w:tc>
          <w:tcPr>
            <w:tcW w:w="0" w:type="auto"/>
            <w:vAlign w:val="center"/>
            <w:hideMark/>
          </w:tcPr>
          <w:p w14:paraId="582F306A" w14:textId="77777777" w:rsidR="00973D19" w:rsidRPr="000E28FB" w:rsidRDefault="00973D19" w:rsidP="002465EC">
            <w:r w:rsidRPr="000E28FB">
              <w:t>Religion</w:t>
            </w:r>
          </w:p>
        </w:tc>
        <w:tc>
          <w:tcPr>
            <w:tcW w:w="0" w:type="auto"/>
            <w:vAlign w:val="center"/>
            <w:hideMark/>
          </w:tcPr>
          <w:p w14:paraId="25612A2D" w14:textId="77777777" w:rsidR="00973D19" w:rsidRPr="000E28FB" w:rsidRDefault="00973D19" w:rsidP="002465EC">
            <w:pPr>
              <w:jc w:val="center"/>
            </w:pPr>
            <w:r w:rsidRPr="000E28FB">
              <w:t>-1.819</w:t>
            </w:r>
            <w:r w:rsidRPr="000E28FB">
              <w:rPr>
                <w:vertAlign w:val="superscript"/>
              </w:rPr>
              <w:t>*</w:t>
            </w:r>
          </w:p>
        </w:tc>
        <w:tc>
          <w:tcPr>
            <w:tcW w:w="0" w:type="auto"/>
            <w:vAlign w:val="center"/>
            <w:hideMark/>
          </w:tcPr>
          <w:p w14:paraId="1B9BC7C2" w14:textId="77777777" w:rsidR="00973D19" w:rsidRPr="000E28FB" w:rsidRDefault="00973D19" w:rsidP="002465EC">
            <w:pPr>
              <w:jc w:val="center"/>
            </w:pPr>
          </w:p>
        </w:tc>
        <w:tc>
          <w:tcPr>
            <w:tcW w:w="0" w:type="auto"/>
            <w:vAlign w:val="center"/>
            <w:hideMark/>
          </w:tcPr>
          <w:p w14:paraId="424B14EC" w14:textId="77777777" w:rsidR="00973D19" w:rsidRPr="000E28FB" w:rsidRDefault="00973D19" w:rsidP="002465EC">
            <w:pPr>
              <w:jc w:val="center"/>
            </w:pPr>
            <w:r w:rsidRPr="000E28FB">
              <w:t>-1.928</w:t>
            </w:r>
            <w:r w:rsidRPr="000E28FB">
              <w:rPr>
                <w:vertAlign w:val="superscript"/>
              </w:rPr>
              <w:t>*</w:t>
            </w:r>
          </w:p>
        </w:tc>
        <w:tc>
          <w:tcPr>
            <w:tcW w:w="0" w:type="auto"/>
            <w:vAlign w:val="center"/>
            <w:hideMark/>
          </w:tcPr>
          <w:p w14:paraId="556E8B75" w14:textId="77777777" w:rsidR="00973D19" w:rsidRPr="000E28FB" w:rsidRDefault="00973D19" w:rsidP="002465EC">
            <w:pPr>
              <w:jc w:val="center"/>
            </w:pPr>
          </w:p>
        </w:tc>
        <w:tc>
          <w:tcPr>
            <w:tcW w:w="0" w:type="auto"/>
            <w:vAlign w:val="center"/>
            <w:hideMark/>
          </w:tcPr>
          <w:p w14:paraId="0CE8ECA9" w14:textId="77777777" w:rsidR="00973D19" w:rsidRPr="000E28FB" w:rsidRDefault="00973D19" w:rsidP="002465EC">
            <w:pPr>
              <w:jc w:val="center"/>
            </w:pPr>
            <w:r w:rsidRPr="000E28FB">
              <w:t>-1.344</w:t>
            </w:r>
            <w:r w:rsidRPr="000E28FB">
              <w:rPr>
                <w:vertAlign w:val="superscript"/>
              </w:rPr>
              <w:t>+</w:t>
            </w:r>
          </w:p>
        </w:tc>
        <w:tc>
          <w:tcPr>
            <w:tcW w:w="0" w:type="auto"/>
            <w:vAlign w:val="center"/>
            <w:hideMark/>
          </w:tcPr>
          <w:p w14:paraId="5ECBCB1C" w14:textId="77777777" w:rsidR="00973D19" w:rsidRPr="000E28FB" w:rsidRDefault="00973D19" w:rsidP="002465EC">
            <w:pPr>
              <w:jc w:val="center"/>
            </w:pPr>
            <w:r w:rsidRPr="000E28FB">
              <w:t>-1.519</w:t>
            </w:r>
            <w:r w:rsidRPr="000E28FB">
              <w:rPr>
                <w:vertAlign w:val="superscript"/>
              </w:rPr>
              <w:t>*</w:t>
            </w:r>
          </w:p>
        </w:tc>
      </w:tr>
      <w:tr w:rsidR="00B46696" w:rsidRPr="000E28FB" w14:paraId="52B837DE" w14:textId="77777777" w:rsidTr="002465EC">
        <w:trPr>
          <w:tblCellSpacing w:w="15" w:type="dxa"/>
        </w:trPr>
        <w:tc>
          <w:tcPr>
            <w:tcW w:w="0" w:type="auto"/>
            <w:vAlign w:val="center"/>
            <w:hideMark/>
          </w:tcPr>
          <w:p w14:paraId="5451B0F0" w14:textId="77777777" w:rsidR="00973D19" w:rsidRPr="000E28FB" w:rsidRDefault="00973D19" w:rsidP="002465EC">
            <w:pPr>
              <w:jc w:val="center"/>
            </w:pPr>
          </w:p>
        </w:tc>
        <w:tc>
          <w:tcPr>
            <w:tcW w:w="0" w:type="auto"/>
            <w:vAlign w:val="center"/>
            <w:hideMark/>
          </w:tcPr>
          <w:p w14:paraId="5CFDB842" w14:textId="77777777" w:rsidR="00973D19" w:rsidRPr="000E28FB" w:rsidRDefault="00973D19" w:rsidP="002465EC">
            <w:pPr>
              <w:jc w:val="center"/>
            </w:pPr>
            <w:r w:rsidRPr="000E28FB">
              <w:t>(0.748)</w:t>
            </w:r>
          </w:p>
        </w:tc>
        <w:tc>
          <w:tcPr>
            <w:tcW w:w="0" w:type="auto"/>
            <w:vAlign w:val="center"/>
            <w:hideMark/>
          </w:tcPr>
          <w:p w14:paraId="0C92AA59" w14:textId="77777777" w:rsidR="00973D19" w:rsidRPr="000E28FB" w:rsidRDefault="00973D19" w:rsidP="002465EC">
            <w:pPr>
              <w:jc w:val="center"/>
            </w:pPr>
          </w:p>
        </w:tc>
        <w:tc>
          <w:tcPr>
            <w:tcW w:w="0" w:type="auto"/>
            <w:vAlign w:val="center"/>
            <w:hideMark/>
          </w:tcPr>
          <w:p w14:paraId="719DE129" w14:textId="77777777" w:rsidR="00973D19" w:rsidRPr="000E28FB" w:rsidRDefault="00973D19" w:rsidP="002465EC">
            <w:pPr>
              <w:jc w:val="center"/>
            </w:pPr>
            <w:r w:rsidRPr="000E28FB">
              <w:t>(0.754)</w:t>
            </w:r>
          </w:p>
        </w:tc>
        <w:tc>
          <w:tcPr>
            <w:tcW w:w="0" w:type="auto"/>
            <w:vAlign w:val="center"/>
            <w:hideMark/>
          </w:tcPr>
          <w:p w14:paraId="50D3D103" w14:textId="77777777" w:rsidR="00973D19" w:rsidRPr="000E28FB" w:rsidRDefault="00973D19" w:rsidP="002465EC">
            <w:pPr>
              <w:jc w:val="center"/>
            </w:pPr>
          </w:p>
        </w:tc>
        <w:tc>
          <w:tcPr>
            <w:tcW w:w="0" w:type="auto"/>
            <w:vAlign w:val="center"/>
            <w:hideMark/>
          </w:tcPr>
          <w:p w14:paraId="69064850" w14:textId="77777777" w:rsidR="00973D19" w:rsidRPr="000E28FB" w:rsidRDefault="00973D19" w:rsidP="002465EC">
            <w:pPr>
              <w:jc w:val="center"/>
            </w:pPr>
            <w:r w:rsidRPr="000E28FB">
              <w:t>(0.761)</w:t>
            </w:r>
          </w:p>
        </w:tc>
        <w:tc>
          <w:tcPr>
            <w:tcW w:w="0" w:type="auto"/>
            <w:vAlign w:val="center"/>
            <w:hideMark/>
          </w:tcPr>
          <w:p w14:paraId="3111184E" w14:textId="77777777" w:rsidR="00973D19" w:rsidRPr="000E28FB" w:rsidRDefault="00973D19" w:rsidP="002465EC">
            <w:pPr>
              <w:jc w:val="center"/>
            </w:pPr>
            <w:r w:rsidRPr="000E28FB">
              <w:t>(0.774)</w:t>
            </w:r>
          </w:p>
        </w:tc>
      </w:tr>
      <w:tr w:rsidR="00B46696" w:rsidRPr="000E28FB" w14:paraId="1D319A33" w14:textId="77777777" w:rsidTr="002465EC">
        <w:trPr>
          <w:tblCellSpacing w:w="15" w:type="dxa"/>
        </w:trPr>
        <w:tc>
          <w:tcPr>
            <w:tcW w:w="0" w:type="auto"/>
            <w:vAlign w:val="center"/>
            <w:hideMark/>
          </w:tcPr>
          <w:p w14:paraId="20F4742F" w14:textId="77777777" w:rsidR="00973D19" w:rsidRPr="000E28FB" w:rsidRDefault="00973D19" w:rsidP="002465EC">
            <w:pPr>
              <w:jc w:val="center"/>
            </w:pPr>
          </w:p>
        </w:tc>
        <w:tc>
          <w:tcPr>
            <w:tcW w:w="0" w:type="auto"/>
            <w:vAlign w:val="center"/>
            <w:hideMark/>
          </w:tcPr>
          <w:p w14:paraId="5D19E2D9" w14:textId="77777777" w:rsidR="00973D19" w:rsidRPr="000E28FB" w:rsidRDefault="00973D19" w:rsidP="002465EC">
            <w:pPr>
              <w:rPr>
                <w:sz w:val="20"/>
                <w:szCs w:val="20"/>
              </w:rPr>
            </w:pPr>
          </w:p>
        </w:tc>
        <w:tc>
          <w:tcPr>
            <w:tcW w:w="0" w:type="auto"/>
            <w:vAlign w:val="center"/>
            <w:hideMark/>
          </w:tcPr>
          <w:p w14:paraId="45208C61" w14:textId="77777777" w:rsidR="00973D19" w:rsidRPr="000E28FB" w:rsidRDefault="00973D19" w:rsidP="002465EC">
            <w:pPr>
              <w:jc w:val="center"/>
              <w:rPr>
                <w:sz w:val="20"/>
                <w:szCs w:val="20"/>
              </w:rPr>
            </w:pPr>
          </w:p>
        </w:tc>
        <w:tc>
          <w:tcPr>
            <w:tcW w:w="0" w:type="auto"/>
            <w:vAlign w:val="center"/>
            <w:hideMark/>
          </w:tcPr>
          <w:p w14:paraId="0CB62E26" w14:textId="77777777" w:rsidR="00973D19" w:rsidRPr="000E28FB" w:rsidRDefault="00973D19" w:rsidP="002465EC">
            <w:pPr>
              <w:jc w:val="center"/>
              <w:rPr>
                <w:sz w:val="20"/>
                <w:szCs w:val="20"/>
              </w:rPr>
            </w:pPr>
          </w:p>
        </w:tc>
        <w:tc>
          <w:tcPr>
            <w:tcW w:w="0" w:type="auto"/>
            <w:vAlign w:val="center"/>
            <w:hideMark/>
          </w:tcPr>
          <w:p w14:paraId="4415112A" w14:textId="77777777" w:rsidR="00973D19" w:rsidRPr="000E28FB" w:rsidRDefault="00973D19" w:rsidP="002465EC">
            <w:pPr>
              <w:jc w:val="center"/>
              <w:rPr>
                <w:sz w:val="20"/>
                <w:szCs w:val="20"/>
              </w:rPr>
            </w:pPr>
          </w:p>
        </w:tc>
        <w:tc>
          <w:tcPr>
            <w:tcW w:w="0" w:type="auto"/>
            <w:vAlign w:val="center"/>
            <w:hideMark/>
          </w:tcPr>
          <w:p w14:paraId="77405C49" w14:textId="77777777" w:rsidR="00973D19" w:rsidRPr="000E28FB" w:rsidRDefault="00973D19" w:rsidP="002465EC">
            <w:pPr>
              <w:jc w:val="center"/>
              <w:rPr>
                <w:sz w:val="20"/>
                <w:szCs w:val="20"/>
              </w:rPr>
            </w:pPr>
          </w:p>
        </w:tc>
        <w:tc>
          <w:tcPr>
            <w:tcW w:w="0" w:type="auto"/>
            <w:vAlign w:val="center"/>
            <w:hideMark/>
          </w:tcPr>
          <w:p w14:paraId="7B21492A" w14:textId="77777777" w:rsidR="00973D19" w:rsidRPr="000E28FB" w:rsidRDefault="00973D19" w:rsidP="002465EC">
            <w:pPr>
              <w:jc w:val="center"/>
              <w:rPr>
                <w:sz w:val="20"/>
                <w:szCs w:val="20"/>
              </w:rPr>
            </w:pPr>
          </w:p>
        </w:tc>
      </w:tr>
      <w:tr w:rsidR="00B46696" w:rsidRPr="000E28FB" w14:paraId="0B31BB6C" w14:textId="77777777" w:rsidTr="002465EC">
        <w:trPr>
          <w:tblCellSpacing w:w="15" w:type="dxa"/>
        </w:trPr>
        <w:tc>
          <w:tcPr>
            <w:tcW w:w="0" w:type="auto"/>
            <w:vAlign w:val="center"/>
            <w:hideMark/>
          </w:tcPr>
          <w:p w14:paraId="01BDB97C" w14:textId="77777777" w:rsidR="00973D19" w:rsidRPr="000E28FB" w:rsidRDefault="00973D19" w:rsidP="002465EC">
            <w:r w:rsidRPr="000E28FB">
              <w:t>Membership Practices</w:t>
            </w:r>
          </w:p>
        </w:tc>
        <w:tc>
          <w:tcPr>
            <w:tcW w:w="0" w:type="auto"/>
            <w:vAlign w:val="center"/>
            <w:hideMark/>
          </w:tcPr>
          <w:p w14:paraId="668181F1" w14:textId="77777777" w:rsidR="00973D19" w:rsidRPr="000E28FB" w:rsidRDefault="00973D19" w:rsidP="002465EC"/>
        </w:tc>
        <w:tc>
          <w:tcPr>
            <w:tcW w:w="0" w:type="auto"/>
            <w:vAlign w:val="center"/>
            <w:hideMark/>
          </w:tcPr>
          <w:p w14:paraId="1162E7BA" w14:textId="77777777" w:rsidR="00973D19" w:rsidRPr="000E28FB" w:rsidRDefault="00973D19" w:rsidP="002465EC">
            <w:pPr>
              <w:jc w:val="center"/>
            </w:pPr>
            <w:r w:rsidRPr="000E28FB">
              <w:t>-2.238</w:t>
            </w:r>
            <w:r w:rsidRPr="000E28FB">
              <w:rPr>
                <w:vertAlign w:val="superscript"/>
              </w:rPr>
              <w:t>***</w:t>
            </w:r>
          </w:p>
        </w:tc>
        <w:tc>
          <w:tcPr>
            <w:tcW w:w="0" w:type="auto"/>
            <w:vAlign w:val="center"/>
            <w:hideMark/>
          </w:tcPr>
          <w:p w14:paraId="1A6087A4" w14:textId="77777777" w:rsidR="00973D19" w:rsidRPr="000E28FB" w:rsidRDefault="00973D19" w:rsidP="002465EC">
            <w:pPr>
              <w:jc w:val="center"/>
            </w:pPr>
          </w:p>
        </w:tc>
        <w:tc>
          <w:tcPr>
            <w:tcW w:w="0" w:type="auto"/>
            <w:vAlign w:val="center"/>
            <w:hideMark/>
          </w:tcPr>
          <w:p w14:paraId="0440537B" w14:textId="77777777" w:rsidR="00973D19" w:rsidRPr="000E28FB" w:rsidRDefault="00973D19" w:rsidP="002465EC">
            <w:pPr>
              <w:jc w:val="center"/>
            </w:pPr>
            <w:r w:rsidRPr="000E28FB">
              <w:t>-2.129</w:t>
            </w:r>
            <w:r w:rsidRPr="000E28FB">
              <w:rPr>
                <w:vertAlign w:val="superscript"/>
              </w:rPr>
              <w:t>**</w:t>
            </w:r>
          </w:p>
        </w:tc>
        <w:tc>
          <w:tcPr>
            <w:tcW w:w="0" w:type="auto"/>
            <w:vAlign w:val="center"/>
            <w:hideMark/>
          </w:tcPr>
          <w:p w14:paraId="32CF524D" w14:textId="77777777" w:rsidR="00973D19" w:rsidRPr="000E28FB" w:rsidRDefault="00973D19" w:rsidP="002465EC">
            <w:pPr>
              <w:jc w:val="center"/>
            </w:pPr>
            <w:r w:rsidRPr="000E28FB">
              <w:t>-1.945</w:t>
            </w:r>
            <w:r w:rsidRPr="000E28FB">
              <w:rPr>
                <w:vertAlign w:val="superscript"/>
              </w:rPr>
              <w:t>**</w:t>
            </w:r>
          </w:p>
        </w:tc>
        <w:tc>
          <w:tcPr>
            <w:tcW w:w="0" w:type="auto"/>
            <w:vAlign w:val="center"/>
            <w:hideMark/>
          </w:tcPr>
          <w:p w14:paraId="56952BCA" w14:textId="77777777" w:rsidR="00973D19" w:rsidRPr="000E28FB" w:rsidRDefault="00973D19" w:rsidP="002465EC">
            <w:pPr>
              <w:jc w:val="center"/>
            </w:pPr>
            <w:r w:rsidRPr="000E28FB">
              <w:t>-1.773</w:t>
            </w:r>
            <w:r w:rsidRPr="000E28FB">
              <w:rPr>
                <w:vertAlign w:val="superscript"/>
              </w:rPr>
              <w:t>**</w:t>
            </w:r>
          </w:p>
        </w:tc>
      </w:tr>
      <w:tr w:rsidR="00B46696" w:rsidRPr="000E28FB" w14:paraId="2826FF83" w14:textId="77777777" w:rsidTr="002465EC">
        <w:trPr>
          <w:tblCellSpacing w:w="15" w:type="dxa"/>
        </w:trPr>
        <w:tc>
          <w:tcPr>
            <w:tcW w:w="0" w:type="auto"/>
            <w:vAlign w:val="center"/>
            <w:hideMark/>
          </w:tcPr>
          <w:p w14:paraId="108AEA24" w14:textId="77777777" w:rsidR="00973D19" w:rsidRPr="000E28FB" w:rsidRDefault="00973D19" w:rsidP="002465EC">
            <w:pPr>
              <w:jc w:val="center"/>
            </w:pPr>
          </w:p>
        </w:tc>
        <w:tc>
          <w:tcPr>
            <w:tcW w:w="0" w:type="auto"/>
            <w:vAlign w:val="center"/>
            <w:hideMark/>
          </w:tcPr>
          <w:p w14:paraId="3C452B30" w14:textId="77777777" w:rsidR="00973D19" w:rsidRPr="000E28FB" w:rsidRDefault="00973D19" w:rsidP="002465EC">
            <w:pPr>
              <w:rPr>
                <w:sz w:val="20"/>
                <w:szCs w:val="20"/>
              </w:rPr>
            </w:pPr>
          </w:p>
        </w:tc>
        <w:tc>
          <w:tcPr>
            <w:tcW w:w="0" w:type="auto"/>
            <w:vAlign w:val="center"/>
            <w:hideMark/>
          </w:tcPr>
          <w:p w14:paraId="4496AE8C" w14:textId="77777777" w:rsidR="00973D19" w:rsidRPr="000E28FB" w:rsidRDefault="00973D19" w:rsidP="002465EC">
            <w:pPr>
              <w:jc w:val="center"/>
            </w:pPr>
            <w:r w:rsidRPr="000E28FB">
              <w:t>(0.653)</w:t>
            </w:r>
          </w:p>
        </w:tc>
        <w:tc>
          <w:tcPr>
            <w:tcW w:w="0" w:type="auto"/>
            <w:vAlign w:val="center"/>
            <w:hideMark/>
          </w:tcPr>
          <w:p w14:paraId="63B31017" w14:textId="77777777" w:rsidR="00973D19" w:rsidRPr="000E28FB" w:rsidRDefault="00973D19" w:rsidP="002465EC">
            <w:pPr>
              <w:jc w:val="center"/>
            </w:pPr>
          </w:p>
        </w:tc>
        <w:tc>
          <w:tcPr>
            <w:tcW w:w="0" w:type="auto"/>
            <w:vAlign w:val="center"/>
            <w:hideMark/>
          </w:tcPr>
          <w:p w14:paraId="677D3D63" w14:textId="77777777" w:rsidR="00973D19" w:rsidRPr="000E28FB" w:rsidRDefault="00973D19" w:rsidP="002465EC">
            <w:pPr>
              <w:jc w:val="center"/>
            </w:pPr>
            <w:r w:rsidRPr="000E28FB">
              <w:t>(0.659)</w:t>
            </w:r>
          </w:p>
        </w:tc>
        <w:tc>
          <w:tcPr>
            <w:tcW w:w="0" w:type="auto"/>
            <w:vAlign w:val="center"/>
            <w:hideMark/>
          </w:tcPr>
          <w:p w14:paraId="4AA8E28B" w14:textId="77777777" w:rsidR="00973D19" w:rsidRPr="000E28FB" w:rsidRDefault="00973D19" w:rsidP="002465EC">
            <w:pPr>
              <w:jc w:val="center"/>
            </w:pPr>
            <w:r w:rsidRPr="000E28FB">
              <w:t>(0.659)</w:t>
            </w:r>
          </w:p>
        </w:tc>
        <w:tc>
          <w:tcPr>
            <w:tcW w:w="0" w:type="auto"/>
            <w:vAlign w:val="center"/>
            <w:hideMark/>
          </w:tcPr>
          <w:p w14:paraId="4C07D7B2" w14:textId="77777777" w:rsidR="00973D19" w:rsidRPr="000E28FB" w:rsidRDefault="00973D19" w:rsidP="002465EC">
            <w:pPr>
              <w:jc w:val="center"/>
            </w:pPr>
            <w:r w:rsidRPr="000E28FB">
              <w:t>(0.660)</w:t>
            </w:r>
          </w:p>
        </w:tc>
      </w:tr>
      <w:tr w:rsidR="00B46696" w:rsidRPr="000E28FB" w14:paraId="32835FBA" w14:textId="77777777" w:rsidTr="002465EC">
        <w:trPr>
          <w:tblCellSpacing w:w="15" w:type="dxa"/>
        </w:trPr>
        <w:tc>
          <w:tcPr>
            <w:tcW w:w="0" w:type="auto"/>
            <w:vAlign w:val="center"/>
            <w:hideMark/>
          </w:tcPr>
          <w:p w14:paraId="3B6521FC" w14:textId="77777777" w:rsidR="00973D19" w:rsidRPr="000E28FB" w:rsidRDefault="00973D19" w:rsidP="002465EC">
            <w:pPr>
              <w:jc w:val="center"/>
            </w:pPr>
          </w:p>
        </w:tc>
        <w:tc>
          <w:tcPr>
            <w:tcW w:w="0" w:type="auto"/>
            <w:vAlign w:val="center"/>
            <w:hideMark/>
          </w:tcPr>
          <w:p w14:paraId="31D58ED9" w14:textId="77777777" w:rsidR="00973D19" w:rsidRPr="000E28FB" w:rsidRDefault="00973D19" w:rsidP="002465EC">
            <w:pPr>
              <w:rPr>
                <w:sz w:val="20"/>
                <w:szCs w:val="20"/>
              </w:rPr>
            </w:pPr>
          </w:p>
        </w:tc>
        <w:tc>
          <w:tcPr>
            <w:tcW w:w="0" w:type="auto"/>
            <w:vAlign w:val="center"/>
            <w:hideMark/>
          </w:tcPr>
          <w:p w14:paraId="68D5ED8D" w14:textId="77777777" w:rsidR="00973D19" w:rsidRPr="000E28FB" w:rsidRDefault="00973D19" w:rsidP="002465EC">
            <w:pPr>
              <w:jc w:val="center"/>
              <w:rPr>
                <w:sz w:val="20"/>
                <w:szCs w:val="20"/>
              </w:rPr>
            </w:pPr>
          </w:p>
        </w:tc>
        <w:tc>
          <w:tcPr>
            <w:tcW w:w="0" w:type="auto"/>
            <w:vAlign w:val="center"/>
            <w:hideMark/>
          </w:tcPr>
          <w:p w14:paraId="72072870" w14:textId="77777777" w:rsidR="00973D19" w:rsidRPr="000E28FB" w:rsidRDefault="00973D19" w:rsidP="002465EC">
            <w:pPr>
              <w:jc w:val="center"/>
              <w:rPr>
                <w:sz w:val="20"/>
                <w:szCs w:val="20"/>
              </w:rPr>
            </w:pPr>
          </w:p>
        </w:tc>
        <w:tc>
          <w:tcPr>
            <w:tcW w:w="0" w:type="auto"/>
            <w:vAlign w:val="center"/>
            <w:hideMark/>
          </w:tcPr>
          <w:p w14:paraId="17A7584F" w14:textId="77777777" w:rsidR="00973D19" w:rsidRPr="000E28FB" w:rsidRDefault="00973D19" w:rsidP="002465EC">
            <w:pPr>
              <w:jc w:val="center"/>
              <w:rPr>
                <w:sz w:val="20"/>
                <w:szCs w:val="20"/>
              </w:rPr>
            </w:pPr>
          </w:p>
        </w:tc>
        <w:tc>
          <w:tcPr>
            <w:tcW w:w="0" w:type="auto"/>
            <w:vAlign w:val="center"/>
            <w:hideMark/>
          </w:tcPr>
          <w:p w14:paraId="09F39FDA" w14:textId="77777777" w:rsidR="00973D19" w:rsidRPr="000E28FB" w:rsidRDefault="00973D19" w:rsidP="002465EC">
            <w:pPr>
              <w:jc w:val="center"/>
              <w:rPr>
                <w:sz w:val="20"/>
                <w:szCs w:val="20"/>
              </w:rPr>
            </w:pPr>
          </w:p>
        </w:tc>
        <w:tc>
          <w:tcPr>
            <w:tcW w:w="0" w:type="auto"/>
            <w:vAlign w:val="center"/>
            <w:hideMark/>
          </w:tcPr>
          <w:p w14:paraId="624816CE" w14:textId="77777777" w:rsidR="00973D19" w:rsidRPr="000E28FB" w:rsidRDefault="00973D19" w:rsidP="002465EC">
            <w:pPr>
              <w:jc w:val="center"/>
              <w:rPr>
                <w:sz w:val="20"/>
                <w:szCs w:val="20"/>
              </w:rPr>
            </w:pPr>
          </w:p>
        </w:tc>
      </w:tr>
      <w:tr w:rsidR="00B46696" w:rsidRPr="000E28FB" w14:paraId="17C53046" w14:textId="77777777" w:rsidTr="002465EC">
        <w:trPr>
          <w:tblCellSpacing w:w="15" w:type="dxa"/>
        </w:trPr>
        <w:tc>
          <w:tcPr>
            <w:tcW w:w="0" w:type="auto"/>
            <w:vAlign w:val="center"/>
            <w:hideMark/>
          </w:tcPr>
          <w:p w14:paraId="46C4FEC6" w14:textId="77777777" w:rsidR="00973D19" w:rsidRPr="000E28FB" w:rsidRDefault="00973D19" w:rsidP="002465EC">
            <w:r w:rsidRPr="000E28FB">
              <w:t>Democracy (lag)</w:t>
            </w:r>
          </w:p>
        </w:tc>
        <w:tc>
          <w:tcPr>
            <w:tcW w:w="0" w:type="auto"/>
            <w:vAlign w:val="center"/>
            <w:hideMark/>
          </w:tcPr>
          <w:p w14:paraId="0E6ED690" w14:textId="77777777" w:rsidR="00973D19" w:rsidRPr="000E28FB" w:rsidRDefault="00973D19" w:rsidP="002465EC"/>
        </w:tc>
        <w:tc>
          <w:tcPr>
            <w:tcW w:w="0" w:type="auto"/>
            <w:vAlign w:val="center"/>
            <w:hideMark/>
          </w:tcPr>
          <w:p w14:paraId="4D2A1A9E" w14:textId="77777777" w:rsidR="00973D19" w:rsidRPr="000E28FB" w:rsidRDefault="00973D19" w:rsidP="002465EC">
            <w:pPr>
              <w:jc w:val="center"/>
              <w:rPr>
                <w:sz w:val="20"/>
                <w:szCs w:val="20"/>
              </w:rPr>
            </w:pPr>
          </w:p>
        </w:tc>
        <w:tc>
          <w:tcPr>
            <w:tcW w:w="0" w:type="auto"/>
            <w:vAlign w:val="center"/>
            <w:hideMark/>
          </w:tcPr>
          <w:p w14:paraId="634C041A" w14:textId="77777777" w:rsidR="00973D19" w:rsidRPr="000E28FB" w:rsidRDefault="00973D19" w:rsidP="002465EC">
            <w:pPr>
              <w:jc w:val="center"/>
            </w:pPr>
            <w:r w:rsidRPr="000E28FB">
              <w:t>-2.140</w:t>
            </w:r>
            <w:r w:rsidRPr="000E28FB">
              <w:rPr>
                <w:vertAlign w:val="superscript"/>
              </w:rPr>
              <w:t>+</w:t>
            </w:r>
          </w:p>
        </w:tc>
        <w:tc>
          <w:tcPr>
            <w:tcW w:w="0" w:type="auto"/>
            <w:vAlign w:val="center"/>
            <w:hideMark/>
          </w:tcPr>
          <w:p w14:paraId="76463814" w14:textId="77777777" w:rsidR="00973D19" w:rsidRPr="000E28FB" w:rsidRDefault="00973D19" w:rsidP="002465EC">
            <w:pPr>
              <w:jc w:val="center"/>
            </w:pPr>
            <w:r w:rsidRPr="000E28FB">
              <w:t>-0.817</w:t>
            </w:r>
          </w:p>
        </w:tc>
        <w:tc>
          <w:tcPr>
            <w:tcW w:w="0" w:type="auto"/>
            <w:vAlign w:val="center"/>
            <w:hideMark/>
          </w:tcPr>
          <w:p w14:paraId="7EE240E9" w14:textId="77777777" w:rsidR="00973D19" w:rsidRPr="000E28FB" w:rsidRDefault="00973D19" w:rsidP="002465EC">
            <w:pPr>
              <w:jc w:val="center"/>
            </w:pPr>
          </w:p>
        </w:tc>
        <w:tc>
          <w:tcPr>
            <w:tcW w:w="0" w:type="auto"/>
            <w:vAlign w:val="center"/>
            <w:hideMark/>
          </w:tcPr>
          <w:p w14:paraId="48E12F58" w14:textId="77777777" w:rsidR="00973D19" w:rsidRPr="000E28FB" w:rsidRDefault="00973D19" w:rsidP="002465EC">
            <w:pPr>
              <w:jc w:val="center"/>
            </w:pPr>
            <w:r w:rsidRPr="000E28FB">
              <w:t>-1.424</w:t>
            </w:r>
          </w:p>
        </w:tc>
      </w:tr>
      <w:tr w:rsidR="00B46696" w:rsidRPr="000E28FB" w14:paraId="40AD1B07" w14:textId="77777777" w:rsidTr="002465EC">
        <w:trPr>
          <w:tblCellSpacing w:w="15" w:type="dxa"/>
        </w:trPr>
        <w:tc>
          <w:tcPr>
            <w:tcW w:w="0" w:type="auto"/>
            <w:vAlign w:val="center"/>
            <w:hideMark/>
          </w:tcPr>
          <w:p w14:paraId="58AC1790" w14:textId="77777777" w:rsidR="00973D19" w:rsidRPr="000E28FB" w:rsidRDefault="00973D19" w:rsidP="002465EC">
            <w:pPr>
              <w:jc w:val="center"/>
            </w:pPr>
          </w:p>
        </w:tc>
        <w:tc>
          <w:tcPr>
            <w:tcW w:w="0" w:type="auto"/>
            <w:vAlign w:val="center"/>
            <w:hideMark/>
          </w:tcPr>
          <w:p w14:paraId="5D10CFE5" w14:textId="77777777" w:rsidR="00973D19" w:rsidRPr="000E28FB" w:rsidRDefault="00973D19" w:rsidP="002465EC">
            <w:pPr>
              <w:rPr>
                <w:sz w:val="20"/>
                <w:szCs w:val="20"/>
              </w:rPr>
            </w:pPr>
          </w:p>
        </w:tc>
        <w:tc>
          <w:tcPr>
            <w:tcW w:w="0" w:type="auto"/>
            <w:vAlign w:val="center"/>
            <w:hideMark/>
          </w:tcPr>
          <w:p w14:paraId="69047A34" w14:textId="77777777" w:rsidR="00973D19" w:rsidRPr="000E28FB" w:rsidRDefault="00973D19" w:rsidP="002465EC">
            <w:pPr>
              <w:jc w:val="center"/>
              <w:rPr>
                <w:sz w:val="20"/>
                <w:szCs w:val="20"/>
              </w:rPr>
            </w:pPr>
          </w:p>
        </w:tc>
        <w:tc>
          <w:tcPr>
            <w:tcW w:w="0" w:type="auto"/>
            <w:vAlign w:val="center"/>
            <w:hideMark/>
          </w:tcPr>
          <w:p w14:paraId="6BD0F9F3" w14:textId="77777777" w:rsidR="00973D19" w:rsidRPr="000E28FB" w:rsidRDefault="00973D19" w:rsidP="002465EC">
            <w:pPr>
              <w:jc w:val="center"/>
            </w:pPr>
            <w:r w:rsidRPr="000E28FB">
              <w:t>(1.245)</w:t>
            </w:r>
          </w:p>
        </w:tc>
        <w:tc>
          <w:tcPr>
            <w:tcW w:w="0" w:type="auto"/>
            <w:vAlign w:val="center"/>
            <w:hideMark/>
          </w:tcPr>
          <w:p w14:paraId="4B11D00B" w14:textId="77777777" w:rsidR="00973D19" w:rsidRPr="000E28FB" w:rsidRDefault="00973D19" w:rsidP="002465EC">
            <w:pPr>
              <w:jc w:val="center"/>
            </w:pPr>
            <w:r w:rsidRPr="000E28FB">
              <w:t>(1.170)</w:t>
            </w:r>
          </w:p>
        </w:tc>
        <w:tc>
          <w:tcPr>
            <w:tcW w:w="0" w:type="auto"/>
            <w:vAlign w:val="center"/>
            <w:hideMark/>
          </w:tcPr>
          <w:p w14:paraId="05671E13" w14:textId="77777777" w:rsidR="00973D19" w:rsidRPr="000E28FB" w:rsidRDefault="00973D19" w:rsidP="002465EC">
            <w:pPr>
              <w:jc w:val="center"/>
            </w:pPr>
          </w:p>
        </w:tc>
        <w:tc>
          <w:tcPr>
            <w:tcW w:w="0" w:type="auto"/>
            <w:vAlign w:val="center"/>
            <w:hideMark/>
          </w:tcPr>
          <w:p w14:paraId="5FF97DD7" w14:textId="77777777" w:rsidR="00973D19" w:rsidRPr="000E28FB" w:rsidRDefault="00973D19" w:rsidP="002465EC">
            <w:pPr>
              <w:jc w:val="center"/>
            </w:pPr>
            <w:r w:rsidRPr="000E28FB">
              <w:t>(1.281)</w:t>
            </w:r>
          </w:p>
        </w:tc>
      </w:tr>
      <w:tr w:rsidR="00B46696" w:rsidRPr="000E28FB" w14:paraId="423040E7" w14:textId="77777777" w:rsidTr="002465EC">
        <w:trPr>
          <w:tblCellSpacing w:w="15" w:type="dxa"/>
        </w:trPr>
        <w:tc>
          <w:tcPr>
            <w:tcW w:w="0" w:type="auto"/>
            <w:vAlign w:val="center"/>
            <w:hideMark/>
          </w:tcPr>
          <w:p w14:paraId="7D95414D" w14:textId="77777777" w:rsidR="00973D19" w:rsidRPr="000E28FB" w:rsidRDefault="00973D19" w:rsidP="002465EC">
            <w:pPr>
              <w:jc w:val="center"/>
            </w:pPr>
          </w:p>
        </w:tc>
        <w:tc>
          <w:tcPr>
            <w:tcW w:w="0" w:type="auto"/>
            <w:vAlign w:val="center"/>
            <w:hideMark/>
          </w:tcPr>
          <w:p w14:paraId="61F72E84" w14:textId="77777777" w:rsidR="00973D19" w:rsidRPr="000E28FB" w:rsidRDefault="00973D19" w:rsidP="002465EC">
            <w:pPr>
              <w:rPr>
                <w:sz w:val="20"/>
                <w:szCs w:val="20"/>
              </w:rPr>
            </w:pPr>
          </w:p>
        </w:tc>
        <w:tc>
          <w:tcPr>
            <w:tcW w:w="0" w:type="auto"/>
            <w:vAlign w:val="center"/>
            <w:hideMark/>
          </w:tcPr>
          <w:p w14:paraId="62C079F5" w14:textId="77777777" w:rsidR="00973D19" w:rsidRPr="000E28FB" w:rsidRDefault="00973D19" w:rsidP="002465EC">
            <w:pPr>
              <w:jc w:val="center"/>
              <w:rPr>
                <w:sz w:val="20"/>
                <w:szCs w:val="20"/>
              </w:rPr>
            </w:pPr>
          </w:p>
        </w:tc>
        <w:tc>
          <w:tcPr>
            <w:tcW w:w="0" w:type="auto"/>
            <w:vAlign w:val="center"/>
            <w:hideMark/>
          </w:tcPr>
          <w:p w14:paraId="0D139D73" w14:textId="77777777" w:rsidR="00973D19" w:rsidRPr="000E28FB" w:rsidRDefault="00973D19" w:rsidP="002465EC">
            <w:pPr>
              <w:jc w:val="center"/>
              <w:rPr>
                <w:sz w:val="20"/>
                <w:szCs w:val="20"/>
              </w:rPr>
            </w:pPr>
          </w:p>
        </w:tc>
        <w:tc>
          <w:tcPr>
            <w:tcW w:w="0" w:type="auto"/>
            <w:vAlign w:val="center"/>
            <w:hideMark/>
          </w:tcPr>
          <w:p w14:paraId="448BF867" w14:textId="77777777" w:rsidR="00973D19" w:rsidRPr="000E28FB" w:rsidRDefault="00973D19" w:rsidP="002465EC">
            <w:pPr>
              <w:jc w:val="center"/>
              <w:rPr>
                <w:sz w:val="20"/>
                <w:szCs w:val="20"/>
              </w:rPr>
            </w:pPr>
          </w:p>
        </w:tc>
        <w:tc>
          <w:tcPr>
            <w:tcW w:w="0" w:type="auto"/>
            <w:vAlign w:val="center"/>
            <w:hideMark/>
          </w:tcPr>
          <w:p w14:paraId="48C56707" w14:textId="77777777" w:rsidR="00973D19" w:rsidRPr="000E28FB" w:rsidRDefault="00973D19" w:rsidP="002465EC">
            <w:pPr>
              <w:jc w:val="center"/>
              <w:rPr>
                <w:sz w:val="20"/>
                <w:szCs w:val="20"/>
              </w:rPr>
            </w:pPr>
          </w:p>
        </w:tc>
        <w:tc>
          <w:tcPr>
            <w:tcW w:w="0" w:type="auto"/>
            <w:vAlign w:val="center"/>
            <w:hideMark/>
          </w:tcPr>
          <w:p w14:paraId="580E48B0" w14:textId="77777777" w:rsidR="00973D19" w:rsidRPr="000E28FB" w:rsidRDefault="00973D19" w:rsidP="002465EC">
            <w:pPr>
              <w:jc w:val="center"/>
              <w:rPr>
                <w:sz w:val="20"/>
                <w:szCs w:val="20"/>
              </w:rPr>
            </w:pPr>
          </w:p>
        </w:tc>
      </w:tr>
      <w:tr w:rsidR="00B46696" w:rsidRPr="000E28FB" w14:paraId="5214AAAB" w14:textId="77777777" w:rsidTr="002465EC">
        <w:trPr>
          <w:tblCellSpacing w:w="15" w:type="dxa"/>
        </w:trPr>
        <w:tc>
          <w:tcPr>
            <w:tcW w:w="0" w:type="auto"/>
            <w:vAlign w:val="center"/>
            <w:hideMark/>
          </w:tcPr>
          <w:p w14:paraId="355DD181" w14:textId="77777777" w:rsidR="00973D19" w:rsidRPr="000E28FB" w:rsidRDefault="00973D19" w:rsidP="002465EC">
            <w:r w:rsidRPr="000E28FB">
              <w:t>GDP per Capita (</w:t>
            </w:r>
            <w:proofErr w:type="spellStart"/>
            <w:r w:rsidRPr="000E28FB">
              <w:t>nat</w:t>
            </w:r>
            <w:proofErr w:type="spellEnd"/>
            <w:r w:rsidRPr="000E28FB">
              <w:t xml:space="preserve"> log, lag)</w:t>
            </w:r>
          </w:p>
        </w:tc>
        <w:tc>
          <w:tcPr>
            <w:tcW w:w="0" w:type="auto"/>
            <w:vAlign w:val="center"/>
            <w:hideMark/>
          </w:tcPr>
          <w:p w14:paraId="6B3B0AFE" w14:textId="77777777" w:rsidR="00973D19" w:rsidRPr="000E28FB" w:rsidRDefault="00973D19" w:rsidP="002465EC"/>
        </w:tc>
        <w:tc>
          <w:tcPr>
            <w:tcW w:w="0" w:type="auto"/>
            <w:vAlign w:val="center"/>
            <w:hideMark/>
          </w:tcPr>
          <w:p w14:paraId="532196E7" w14:textId="77777777" w:rsidR="00973D19" w:rsidRPr="000E28FB" w:rsidRDefault="00973D19" w:rsidP="002465EC">
            <w:pPr>
              <w:jc w:val="center"/>
              <w:rPr>
                <w:sz w:val="20"/>
                <w:szCs w:val="20"/>
              </w:rPr>
            </w:pPr>
          </w:p>
        </w:tc>
        <w:tc>
          <w:tcPr>
            <w:tcW w:w="0" w:type="auto"/>
            <w:vAlign w:val="center"/>
            <w:hideMark/>
          </w:tcPr>
          <w:p w14:paraId="4AA6F3A9" w14:textId="77777777" w:rsidR="00973D19" w:rsidRPr="000E28FB" w:rsidRDefault="00973D19" w:rsidP="002465EC">
            <w:pPr>
              <w:jc w:val="center"/>
            </w:pPr>
            <w:r w:rsidRPr="000E28FB">
              <w:t>0.043</w:t>
            </w:r>
          </w:p>
        </w:tc>
        <w:tc>
          <w:tcPr>
            <w:tcW w:w="0" w:type="auto"/>
            <w:vAlign w:val="center"/>
            <w:hideMark/>
          </w:tcPr>
          <w:p w14:paraId="01DE68C6" w14:textId="77777777" w:rsidR="00973D19" w:rsidRPr="000E28FB" w:rsidRDefault="00973D19" w:rsidP="002465EC">
            <w:pPr>
              <w:jc w:val="center"/>
            </w:pPr>
            <w:r w:rsidRPr="000E28FB">
              <w:t>-0.058</w:t>
            </w:r>
          </w:p>
        </w:tc>
        <w:tc>
          <w:tcPr>
            <w:tcW w:w="0" w:type="auto"/>
            <w:vAlign w:val="center"/>
            <w:hideMark/>
          </w:tcPr>
          <w:p w14:paraId="4C662741" w14:textId="77777777" w:rsidR="00973D19" w:rsidRPr="000E28FB" w:rsidRDefault="00973D19" w:rsidP="002465EC">
            <w:pPr>
              <w:jc w:val="center"/>
            </w:pPr>
          </w:p>
        </w:tc>
        <w:tc>
          <w:tcPr>
            <w:tcW w:w="0" w:type="auto"/>
            <w:vAlign w:val="center"/>
            <w:hideMark/>
          </w:tcPr>
          <w:p w14:paraId="05FCD2B8" w14:textId="77777777" w:rsidR="00973D19" w:rsidRPr="000E28FB" w:rsidRDefault="00973D19" w:rsidP="002465EC">
            <w:pPr>
              <w:jc w:val="center"/>
            </w:pPr>
            <w:r w:rsidRPr="000E28FB">
              <w:t>-0.002</w:t>
            </w:r>
          </w:p>
        </w:tc>
      </w:tr>
      <w:tr w:rsidR="00B46696" w:rsidRPr="000E28FB" w14:paraId="3BD25D9A" w14:textId="77777777" w:rsidTr="002465EC">
        <w:trPr>
          <w:tblCellSpacing w:w="15" w:type="dxa"/>
        </w:trPr>
        <w:tc>
          <w:tcPr>
            <w:tcW w:w="0" w:type="auto"/>
            <w:vAlign w:val="center"/>
            <w:hideMark/>
          </w:tcPr>
          <w:p w14:paraId="7A871885" w14:textId="77777777" w:rsidR="00973D19" w:rsidRPr="000E28FB" w:rsidRDefault="00973D19" w:rsidP="002465EC">
            <w:pPr>
              <w:jc w:val="center"/>
            </w:pPr>
          </w:p>
        </w:tc>
        <w:tc>
          <w:tcPr>
            <w:tcW w:w="0" w:type="auto"/>
            <w:vAlign w:val="center"/>
            <w:hideMark/>
          </w:tcPr>
          <w:p w14:paraId="2BC4A04D" w14:textId="77777777" w:rsidR="00973D19" w:rsidRPr="000E28FB" w:rsidRDefault="00973D19" w:rsidP="002465EC">
            <w:pPr>
              <w:rPr>
                <w:sz w:val="20"/>
                <w:szCs w:val="20"/>
              </w:rPr>
            </w:pPr>
          </w:p>
        </w:tc>
        <w:tc>
          <w:tcPr>
            <w:tcW w:w="0" w:type="auto"/>
            <w:vAlign w:val="center"/>
            <w:hideMark/>
          </w:tcPr>
          <w:p w14:paraId="314678B9" w14:textId="77777777" w:rsidR="00973D19" w:rsidRPr="000E28FB" w:rsidRDefault="00973D19" w:rsidP="002465EC">
            <w:pPr>
              <w:jc w:val="center"/>
              <w:rPr>
                <w:sz w:val="20"/>
                <w:szCs w:val="20"/>
              </w:rPr>
            </w:pPr>
          </w:p>
        </w:tc>
        <w:tc>
          <w:tcPr>
            <w:tcW w:w="0" w:type="auto"/>
            <w:vAlign w:val="center"/>
            <w:hideMark/>
          </w:tcPr>
          <w:p w14:paraId="7792275F" w14:textId="77777777" w:rsidR="00973D19" w:rsidRPr="000E28FB" w:rsidRDefault="00973D19" w:rsidP="002465EC">
            <w:pPr>
              <w:jc w:val="center"/>
            </w:pPr>
            <w:r w:rsidRPr="000E28FB">
              <w:t>(0.265)</w:t>
            </w:r>
          </w:p>
        </w:tc>
        <w:tc>
          <w:tcPr>
            <w:tcW w:w="0" w:type="auto"/>
            <w:vAlign w:val="center"/>
            <w:hideMark/>
          </w:tcPr>
          <w:p w14:paraId="3CFD635E" w14:textId="77777777" w:rsidR="00973D19" w:rsidRPr="000E28FB" w:rsidRDefault="00973D19" w:rsidP="002465EC">
            <w:pPr>
              <w:jc w:val="center"/>
            </w:pPr>
            <w:r w:rsidRPr="000E28FB">
              <w:t>(0.291)</w:t>
            </w:r>
          </w:p>
        </w:tc>
        <w:tc>
          <w:tcPr>
            <w:tcW w:w="0" w:type="auto"/>
            <w:vAlign w:val="center"/>
            <w:hideMark/>
          </w:tcPr>
          <w:p w14:paraId="5FD9F0BA" w14:textId="77777777" w:rsidR="00973D19" w:rsidRPr="000E28FB" w:rsidRDefault="00973D19" w:rsidP="002465EC">
            <w:pPr>
              <w:jc w:val="center"/>
            </w:pPr>
          </w:p>
        </w:tc>
        <w:tc>
          <w:tcPr>
            <w:tcW w:w="0" w:type="auto"/>
            <w:vAlign w:val="center"/>
            <w:hideMark/>
          </w:tcPr>
          <w:p w14:paraId="46F4F8C5" w14:textId="77777777" w:rsidR="00973D19" w:rsidRPr="000E28FB" w:rsidRDefault="00973D19" w:rsidP="002465EC">
            <w:pPr>
              <w:jc w:val="center"/>
            </w:pPr>
            <w:r w:rsidRPr="000E28FB">
              <w:t>(0.288)</w:t>
            </w:r>
          </w:p>
        </w:tc>
      </w:tr>
      <w:tr w:rsidR="00B46696" w:rsidRPr="000E28FB" w14:paraId="0B489694" w14:textId="77777777" w:rsidTr="002465EC">
        <w:trPr>
          <w:tblCellSpacing w:w="15" w:type="dxa"/>
        </w:trPr>
        <w:tc>
          <w:tcPr>
            <w:tcW w:w="0" w:type="auto"/>
            <w:vAlign w:val="center"/>
            <w:hideMark/>
          </w:tcPr>
          <w:p w14:paraId="5D2C20E6" w14:textId="77777777" w:rsidR="00973D19" w:rsidRPr="000E28FB" w:rsidRDefault="00973D19" w:rsidP="002465EC">
            <w:pPr>
              <w:jc w:val="center"/>
            </w:pPr>
          </w:p>
        </w:tc>
        <w:tc>
          <w:tcPr>
            <w:tcW w:w="0" w:type="auto"/>
            <w:vAlign w:val="center"/>
            <w:hideMark/>
          </w:tcPr>
          <w:p w14:paraId="00F70C39" w14:textId="77777777" w:rsidR="00973D19" w:rsidRPr="000E28FB" w:rsidRDefault="00973D19" w:rsidP="002465EC">
            <w:pPr>
              <w:rPr>
                <w:sz w:val="20"/>
                <w:szCs w:val="20"/>
              </w:rPr>
            </w:pPr>
          </w:p>
        </w:tc>
        <w:tc>
          <w:tcPr>
            <w:tcW w:w="0" w:type="auto"/>
            <w:vAlign w:val="center"/>
            <w:hideMark/>
          </w:tcPr>
          <w:p w14:paraId="209C9311" w14:textId="77777777" w:rsidR="00973D19" w:rsidRPr="000E28FB" w:rsidRDefault="00973D19" w:rsidP="002465EC">
            <w:pPr>
              <w:jc w:val="center"/>
              <w:rPr>
                <w:sz w:val="20"/>
                <w:szCs w:val="20"/>
              </w:rPr>
            </w:pPr>
          </w:p>
        </w:tc>
        <w:tc>
          <w:tcPr>
            <w:tcW w:w="0" w:type="auto"/>
            <w:vAlign w:val="center"/>
            <w:hideMark/>
          </w:tcPr>
          <w:p w14:paraId="31C2BB09" w14:textId="77777777" w:rsidR="00973D19" w:rsidRPr="000E28FB" w:rsidRDefault="00973D19" w:rsidP="002465EC">
            <w:pPr>
              <w:jc w:val="center"/>
              <w:rPr>
                <w:sz w:val="20"/>
                <w:szCs w:val="20"/>
              </w:rPr>
            </w:pPr>
          </w:p>
        </w:tc>
        <w:tc>
          <w:tcPr>
            <w:tcW w:w="0" w:type="auto"/>
            <w:vAlign w:val="center"/>
            <w:hideMark/>
          </w:tcPr>
          <w:p w14:paraId="168E0EAB" w14:textId="77777777" w:rsidR="00973D19" w:rsidRPr="000E28FB" w:rsidRDefault="00973D19" w:rsidP="002465EC">
            <w:pPr>
              <w:jc w:val="center"/>
              <w:rPr>
                <w:sz w:val="20"/>
                <w:szCs w:val="20"/>
              </w:rPr>
            </w:pPr>
          </w:p>
        </w:tc>
        <w:tc>
          <w:tcPr>
            <w:tcW w:w="0" w:type="auto"/>
            <w:vAlign w:val="center"/>
            <w:hideMark/>
          </w:tcPr>
          <w:p w14:paraId="62D56F67" w14:textId="77777777" w:rsidR="00973D19" w:rsidRPr="000E28FB" w:rsidRDefault="00973D19" w:rsidP="002465EC">
            <w:pPr>
              <w:jc w:val="center"/>
              <w:rPr>
                <w:sz w:val="20"/>
                <w:szCs w:val="20"/>
              </w:rPr>
            </w:pPr>
          </w:p>
        </w:tc>
        <w:tc>
          <w:tcPr>
            <w:tcW w:w="0" w:type="auto"/>
            <w:vAlign w:val="center"/>
            <w:hideMark/>
          </w:tcPr>
          <w:p w14:paraId="311FAA3B" w14:textId="77777777" w:rsidR="00973D19" w:rsidRPr="000E28FB" w:rsidRDefault="00973D19" w:rsidP="002465EC">
            <w:pPr>
              <w:jc w:val="center"/>
              <w:rPr>
                <w:sz w:val="20"/>
                <w:szCs w:val="20"/>
              </w:rPr>
            </w:pPr>
          </w:p>
        </w:tc>
      </w:tr>
      <w:tr w:rsidR="00B46696" w:rsidRPr="000E28FB" w14:paraId="00B01EFD" w14:textId="77777777" w:rsidTr="002465EC">
        <w:trPr>
          <w:tblCellSpacing w:w="15" w:type="dxa"/>
        </w:trPr>
        <w:tc>
          <w:tcPr>
            <w:tcW w:w="0" w:type="auto"/>
            <w:vAlign w:val="center"/>
            <w:hideMark/>
          </w:tcPr>
          <w:p w14:paraId="738BAB5D" w14:textId="77777777" w:rsidR="00973D19" w:rsidRPr="000E28FB" w:rsidRDefault="00973D19" w:rsidP="002465EC">
            <w:r w:rsidRPr="000E28FB">
              <w:t>Years of Activity</w:t>
            </w:r>
          </w:p>
        </w:tc>
        <w:tc>
          <w:tcPr>
            <w:tcW w:w="0" w:type="auto"/>
            <w:vAlign w:val="center"/>
            <w:hideMark/>
          </w:tcPr>
          <w:p w14:paraId="503A11C2" w14:textId="77777777" w:rsidR="00973D19" w:rsidRPr="000E28FB" w:rsidRDefault="00973D19" w:rsidP="002465EC">
            <w:pPr>
              <w:jc w:val="center"/>
            </w:pPr>
            <w:r w:rsidRPr="000E28FB">
              <w:t>-0.057</w:t>
            </w:r>
            <w:r w:rsidRPr="000E28FB">
              <w:rPr>
                <w:vertAlign w:val="superscript"/>
              </w:rPr>
              <w:t>*</w:t>
            </w:r>
          </w:p>
        </w:tc>
        <w:tc>
          <w:tcPr>
            <w:tcW w:w="0" w:type="auto"/>
            <w:vAlign w:val="center"/>
            <w:hideMark/>
          </w:tcPr>
          <w:p w14:paraId="5EC82CCC" w14:textId="77777777" w:rsidR="00973D19" w:rsidRPr="000E28FB" w:rsidRDefault="00973D19" w:rsidP="002465EC">
            <w:pPr>
              <w:jc w:val="center"/>
            </w:pPr>
            <w:r w:rsidRPr="000E28FB">
              <w:t>-0.029</w:t>
            </w:r>
          </w:p>
        </w:tc>
        <w:tc>
          <w:tcPr>
            <w:tcW w:w="0" w:type="auto"/>
            <w:vAlign w:val="center"/>
            <w:hideMark/>
          </w:tcPr>
          <w:p w14:paraId="406B6879" w14:textId="77777777" w:rsidR="00973D19" w:rsidRPr="000E28FB" w:rsidRDefault="00973D19" w:rsidP="002465EC">
            <w:pPr>
              <w:jc w:val="center"/>
            </w:pPr>
            <w:r w:rsidRPr="000E28FB">
              <w:t>-0.060</w:t>
            </w:r>
            <w:r w:rsidRPr="000E28FB">
              <w:rPr>
                <w:vertAlign w:val="superscript"/>
              </w:rPr>
              <w:t>*</w:t>
            </w:r>
          </w:p>
        </w:tc>
        <w:tc>
          <w:tcPr>
            <w:tcW w:w="0" w:type="auto"/>
            <w:vAlign w:val="center"/>
            <w:hideMark/>
          </w:tcPr>
          <w:p w14:paraId="7393C60B" w14:textId="77777777" w:rsidR="00973D19" w:rsidRPr="000E28FB" w:rsidRDefault="00973D19" w:rsidP="002465EC">
            <w:pPr>
              <w:jc w:val="center"/>
            </w:pPr>
            <w:r w:rsidRPr="000E28FB">
              <w:t>-0.030</w:t>
            </w:r>
          </w:p>
        </w:tc>
        <w:tc>
          <w:tcPr>
            <w:tcW w:w="0" w:type="auto"/>
            <w:vAlign w:val="center"/>
            <w:hideMark/>
          </w:tcPr>
          <w:p w14:paraId="072176E8" w14:textId="77777777" w:rsidR="00973D19" w:rsidRPr="000E28FB" w:rsidRDefault="00973D19" w:rsidP="002465EC">
            <w:pPr>
              <w:jc w:val="center"/>
            </w:pPr>
            <w:r w:rsidRPr="000E28FB">
              <w:t>-0.031</w:t>
            </w:r>
          </w:p>
        </w:tc>
        <w:tc>
          <w:tcPr>
            <w:tcW w:w="0" w:type="auto"/>
            <w:vAlign w:val="center"/>
            <w:hideMark/>
          </w:tcPr>
          <w:p w14:paraId="29DB4CC4" w14:textId="77777777" w:rsidR="00973D19" w:rsidRPr="000E28FB" w:rsidRDefault="00973D19" w:rsidP="002465EC">
            <w:pPr>
              <w:jc w:val="center"/>
            </w:pPr>
            <w:r w:rsidRPr="000E28FB">
              <w:t>-0.038</w:t>
            </w:r>
          </w:p>
        </w:tc>
      </w:tr>
      <w:tr w:rsidR="00B46696" w:rsidRPr="000E28FB" w14:paraId="279A1AF4" w14:textId="77777777" w:rsidTr="002465EC">
        <w:trPr>
          <w:tblCellSpacing w:w="15" w:type="dxa"/>
        </w:trPr>
        <w:tc>
          <w:tcPr>
            <w:tcW w:w="0" w:type="auto"/>
            <w:vAlign w:val="center"/>
            <w:hideMark/>
          </w:tcPr>
          <w:p w14:paraId="36177951" w14:textId="77777777" w:rsidR="00973D19" w:rsidRPr="000E28FB" w:rsidRDefault="00973D19" w:rsidP="002465EC">
            <w:pPr>
              <w:jc w:val="center"/>
            </w:pPr>
          </w:p>
        </w:tc>
        <w:tc>
          <w:tcPr>
            <w:tcW w:w="0" w:type="auto"/>
            <w:vAlign w:val="center"/>
            <w:hideMark/>
          </w:tcPr>
          <w:p w14:paraId="3D95E00F" w14:textId="77777777" w:rsidR="00973D19" w:rsidRPr="000E28FB" w:rsidRDefault="00973D19" w:rsidP="002465EC">
            <w:pPr>
              <w:jc w:val="center"/>
            </w:pPr>
            <w:r w:rsidRPr="000E28FB">
              <w:t>(0.025)</w:t>
            </w:r>
          </w:p>
        </w:tc>
        <w:tc>
          <w:tcPr>
            <w:tcW w:w="0" w:type="auto"/>
            <w:vAlign w:val="center"/>
            <w:hideMark/>
          </w:tcPr>
          <w:p w14:paraId="39C16BCD" w14:textId="77777777" w:rsidR="00973D19" w:rsidRPr="000E28FB" w:rsidRDefault="00973D19" w:rsidP="002465EC">
            <w:pPr>
              <w:jc w:val="center"/>
            </w:pPr>
            <w:r w:rsidRPr="000E28FB">
              <w:t>(0.026)</w:t>
            </w:r>
          </w:p>
        </w:tc>
        <w:tc>
          <w:tcPr>
            <w:tcW w:w="0" w:type="auto"/>
            <w:vAlign w:val="center"/>
            <w:hideMark/>
          </w:tcPr>
          <w:p w14:paraId="4C5174D5" w14:textId="77777777" w:rsidR="00973D19" w:rsidRPr="000E28FB" w:rsidRDefault="00973D19" w:rsidP="002465EC">
            <w:pPr>
              <w:jc w:val="center"/>
            </w:pPr>
            <w:r w:rsidRPr="000E28FB">
              <w:t>(0.027)</w:t>
            </w:r>
          </w:p>
        </w:tc>
        <w:tc>
          <w:tcPr>
            <w:tcW w:w="0" w:type="auto"/>
            <w:vAlign w:val="center"/>
            <w:hideMark/>
          </w:tcPr>
          <w:p w14:paraId="6BFBF5A7" w14:textId="77777777" w:rsidR="00973D19" w:rsidRPr="000E28FB" w:rsidRDefault="00973D19" w:rsidP="002465EC">
            <w:pPr>
              <w:jc w:val="center"/>
            </w:pPr>
            <w:r w:rsidRPr="000E28FB">
              <w:t>(0.027)</w:t>
            </w:r>
          </w:p>
        </w:tc>
        <w:tc>
          <w:tcPr>
            <w:tcW w:w="0" w:type="auto"/>
            <w:vAlign w:val="center"/>
            <w:hideMark/>
          </w:tcPr>
          <w:p w14:paraId="3C0C058C" w14:textId="77777777" w:rsidR="00973D19" w:rsidRPr="000E28FB" w:rsidRDefault="00973D19" w:rsidP="002465EC">
            <w:pPr>
              <w:jc w:val="center"/>
            </w:pPr>
            <w:r w:rsidRPr="000E28FB">
              <w:t>(0.026)</w:t>
            </w:r>
          </w:p>
        </w:tc>
        <w:tc>
          <w:tcPr>
            <w:tcW w:w="0" w:type="auto"/>
            <w:vAlign w:val="center"/>
            <w:hideMark/>
          </w:tcPr>
          <w:p w14:paraId="343DABB2" w14:textId="77777777" w:rsidR="00973D19" w:rsidRPr="000E28FB" w:rsidRDefault="00973D19" w:rsidP="002465EC">
            <w:pPr>
              <w:jc w:val="center"/>
            </w:pPr>
            <w:r w:rsidRPr="000E28FB">
              <w:t>(0.028)</w:t>
            </w:r>
          </w:p>
        </w:tc>
      </w:tr>
      <w:tr w:rsidR="00B46696" w:rsidRPr="000E28FB" w14:paraId="73EF707B" w14:textId="77777777" w:rsidTr="002465EC">
        <w:trPr>
          <w:tblCellSpacing w:w="15" w:type="dxa"/>
        </w:trPr>
        <w:tc>
          <w:tcPr>
            <w:tcW w:w="0" w:type="auto"/>
            <w:vAlign w:val="center"/>
            <w:hideMark/>
          </w:tcPr>
          <w:p w14:paraId="731EE4AB" w14:textId="77777777" w:rsidR="00973D19" w:rsidRPr="000E28FB" w:rsidRDefault="00973D19" w:rsidP="002465EC">
            <w:pPr>
              <w:jc w:val="center"/>
            </w:pPr>
          </w:p>
        </w:tc>
        <w:tc>
          <w:tcPr>
            <w:tcW w:w="0" w:type="auto"/>
            <w:vAlign w:val="center"/>
            <w:hideMark/>
          </w:tcPr>
          <w:p w14:paraId="03376052" w14:textId="77777777" w:rsidR="00973D19" w:rsidRPr="000E28FB" w:rsidRDefault="00973D19" w:rsidP="002465EC">
            <w:pPr>
              <w:rPr>
                <w:sz w:val="20"/>
                <w:szCs w:val="20"/>
              </w:rPr>
            </w:pPr>
          </w:p>
        </w:tc>
        <w:tc>
          <w:tcPr>
            <w:tcW w:w="0" w:type="auto"/>
            <w:vAlign w:val="center"/>
            <w:hideMark/>
          </w:tcPr>
          <w:p w14:paraId="7E76E85A" w14:textId="77777777" w:rsidR="00973D19" w:rsidRPr="000E28FB" w:rsidRDefault="00973D19" w:rsidP="002465EC">
            <w:pPr>
              <w:jc w:val="center"/>
              <w:rPr>
                <w:sz w:val="20"/>
                <w:szCs w:val="20"/>
              </w:rPr>
            </w:pPr>
          </w:p>
        </w:tc>
        <w:tc>
          <w:tcPr>
            <w:tcW w:w="0" w:type="auto"/>
            <w:vAlign w:val="center"/>
            <w:hideMark/>
          </w:tcPr>
          <w:p w14:paraId="32BCB83D" w14:textId="77777777" w:rsidR="00973D19" w:rsidRPr="000E28FB" w:rsidRDefault="00973D19" w:rsidP="002465EC">
            <w:pPr>
              <w:jc w:val="center"/>
              <w:rPr>
                <w:sz w:val="20"/>
                <w:szCs w:val="20"/>
              </w:rPr>
            </w:pPr>
          </w:p>
        </w:tc>
        <w:tc>
          <w:tcPr>
            <w:tcW w:w="0" w:type="auto"/>
            <w:vAlign w:val="center"/>
            <w:hideMark/>
          </w:tcPr>
          <w:p w14:paraId="0CF4CA2A" w14:textId="77777777" w:rsidR="00973D19" w:rsidRPr="000E28FB" w:rsidRDefault="00973D19" w:rsidP="002465EC">
            <w:pPr>
              <w:jc w:val="center"/>
              <w:rPr>
                <w:sz w:val="20"/>
                <w:szCs w:val="20"/>
              </w:rPr>
            </w:pPr>
          </w:p>
        </w:tc>
        <w:tc>
          <w:tcPr>
            <w:tcW w:w="0" w:type="auto"/>
            <w:vAlign w:val="center"/>
            <w:hideMark/>
          </w:tcPr>
          <w:p w14:paraId="25FC641B" w14:textId="77777777" w:rsidR="00973D19" w:rsidRPr="000E28FB" w:rsidRDefault="00973D19" w:rsidP="002465EC">
            <w:pPr>
              <w:jc w:val="center"/>
              <w:rPr>
                <w:sz w:val="20"/>
                <w:szCs w:val="20"/>
              </w:rPr>
            </w:pPr>
          </w:p>
        </w:tc>
        <w:tc>
          <w:tcPr>
            <w:tcW w:w="0" w:type="auto"/>
            <w:vAlign w:val="center"/>
            <w:hideMark/>
          </w:tcPr>
          <w:p w14:paraId="5E993826" w14:textId="77777777" w:rsidR="00973D19" w:rsidRPr="000E28FB" w:rsidRDefault="00973D19" w:rsidP="002465EC">
            <w:pPr>
              <w:jc w:val="center"/>
              <w:rPr>
                <w:sz w:val="20"/>
                <w:szCs w:val="20"/>
              </w:rPr>
            </w:pPr>
          </w:p>
        </w:tc>
      </w:tr>
      <w:tr w:rsidR="00B46696" w:rsidRPr="000E28FB" w14:paraId="02BAE1AA" w14:textId="77777777" w:rsidTr="002465EC">
        <w:trPr>
          <w:tblCellSpacing w:w="15" w:type="dxa"/>
        </w:trPr>
        <w:tc>
          <w:tcPr>
            <w:tcW w:w="0" w:type="auto"/>
            <w:vAlign w:val="center"/>
            <w:hideMark/>
          </w:tcPr>
          <w:p w14:paraId="5F0C1865" w14:textId="77777777" w:rsidR="00973D19" w:rsidRPr="000E28FB" w:rsidRDefault="00973D19" w:rsidP="002465EC">
            <w:r w:rsidRPr="000E28FB">
              <w:t>Intercept</w:t>
            </w:r>
          </w:p>
        </w:tc>
        <w:tc>
          <w:tcPr>
            <w:tcW w:w="0" w:type="auto"/>
            <w:vAlign w:val="center"/>
            <w:hideMark/>
          </w:tcPr>
          <w:p w14:paraId="6E10C7C9" w14:textId="77777777" w:rsidR="00973D19" w:rsidRPr="000E28FB" w:rsidRDefault="00973D19" w:rsidP="002465EC">
            <w:pPr>
              <w:jc w:val="center"/>
            </w:pPr>
            <w:r w:rsidRPr="000E28FB">
              <w:t>-2.639</w:t>
            </w:r>
            <w:r w:rsidRPr="000E28FB">
              <w:rPr>
                <w:vertAlign w:val="superscript"/>
              </w:rPr>
              <w:t>***</w:t>
            </w:r>
          </w:p>
        </w:tc>
        <w:tc>
          <w:tcPr>
            <w:tcW w:w="0" w:type="auto"/>
            <w:vAlign w:val="center"/>
            <w:hideMark/>
          </w:tcPr>
          <w:p w14:paraId="14CD55D8" w14:textId="77777777" w:rsidR="00973D19" w:rsidRPr="000E28FB" w:rsidRDefault="00973D19" w:rsidP="002465EC">
            <w:pPr>
              <w:jc w:val="center"/>
            </w:pPr>
            <w:r w:rsidRPr="000E28FB">
              <w:t>-2.543</w:t>
            </w:r>
            <w:r w:rsidRPr="000E28FB">
              <w:rPr>
                <w:vertAlign w:val="superscript"/>
              </w:rPr>
              <w:t>***</w:t>
            </w:r>
          </w:p>
        </w:tc>
        <w:tc>
          <w:tcPr>
            <w:tcW w:w="0" w:type="auto"/>
            <w:vAlign w:val="center"/>
            <w:hideMark/>
          </w:tcPr>
          <w:p w14:paraId="246301A2" w14:textId="77777777" w:rsidR="00973D19" w:rsidRPr="000E28FB" w:rsidRDefault="00973D19" w:rsidP="002465EC">
            <w:pPr>
              <w:jc w:val="center"/>
            </w:pPr>
            <w:r w:rsidRPr="000E28FB">
              <w:t>-1.333</w:t>
            </w:r>
            <w:r w:rsidRPr="000E28FB">
              <w:rPr>
                <w:vertAlign w:val="superscript"/>
              </w:rPr>
              <w:t>+</w:t>
            </w:r>
          </w:p>
        </w:tc>
        <w:tc>
          <w:tcPr>
            <w:tcW w:w="0" w:type="auto"/>
            <w:vAlign w:val="center"/>
            <w:hideMark/>
          </w:tcPr>
          <w:p w14:paraId="0542663E" w14:textId="77777777" w:rsidR="00973D19" w:rsidRPr="000E28FB" w:rsidRDefault="00973D19" w:rsidP="002465EC">
            <w:pPr>
              <w:jc w:val="center"/>
            </w:pPr>
            <w:r w:rsidRPr="000E28FB">
              <w:t>-2.014</w:t>
            </w:r>
            <w:r w:rsidRPr="000E28FB">
              <w:rPr>
                <w:vertAlign w:val="superscript"/>
              </w:rPr>
              <w:t>**</w:t>
            </w:r>
          </w:p>
        </w:tc>
        <w:tc>
          <w:tcPr>
            <w:tcW w:w="0" w:type="auto"/>
            <w:vAlign w:val="center"/>
            <w:hideMark/>
          </w:tcPr>
          <w:p w14:paraId="5F590973" w14:textId="77777777" w:rsidR="00973D19" w:rsidRPr="000E28FB" w:rsidRDefault="00973D19" w:rsidP="002465EC">
            <w:pPr>
              <w:jc w:val="center"/>
            </w:pPr>
            <w:r w:rsidRPr="000E28FB">
              <w:t>-2.329</w:t>
            </w:r>
            <w:r w:rsidRPr="000E28FB">
              <w:rPr>
                <w:vertAlign w:val="superscript"/>
              </w:rPr>
              <w:t>***</w:t>
            </w:r>
          </w:p>
        </w:tc>
        <w:tc>
          <w:tcPr>
            <w:tcW w:w="0" w:type="auto"/>
            <w:vAlign w:val="center"/>
            <w:hideMark/>
          </w:tcPr>
          <w:p w14:paraId="75CC7211" w14:textId="77777777" w:rsidR="00973D19" w:rsidRPr="000E28FB" w:rsidRDefault="00973D19" w:rsidP="002465EC">
            <w:pPr>
              <w:jc w:val="center"/>
            </w:pPr>
            <w:r w:rsidRPr="000E28FB">
              <w:t>-1.430</w:t>
            </w:r>
            <w:r w:rsidRPr="000E28FB">
              <w:rPr>
                <w:vertAlign w:val="superscript"/>
              </w:rPr>
              <w:t>*</w:t>
            </w:r>
          </w:p>
        </w:tc>
      </w:tr>
      <w:tr w:rsidR="00B46696" w:rsidRPr="000E28FB" w14:paraId="39AE8395" w14:textId="77777777" w:rsidTr="002465EC">
        <w:trPr>
          <w:tblCellSpacing w:w="15" w:type="dxa"/>
        </w:trPr>
        <w:tc>
          <w:tcPr>
            <w:tcW w:w="0" w:type="auto"/>
            <w:vAlign w:val="center"/>
            <w:hideMark/>
          </w:tcPr>
          <w:p w14:paraId="3827D0C8" w14:textId="77777777" w:rsidR="00973D19" w:rsidRPr="000E28FB" w:rsidRDefault="00973D19" w:rsidP="002465EC">
            <w:pPr>
              <w:jc w:val="center"/>
            </w:pPr>
          </w:p>
        </w:tc>
        <w:tc>
          <w:tcPr>
            <w:tcW w:w="0" w:type="auto"/>
            <w:vAlign w:val="center"/>
            <w:hideMark/>
          </w:tcPr>
          <w:p w14:paraId="6A816005" w14:textId="77777777" w:rsidR="00973D19" w:rsidRPr="000E28FB" w:rsidRDefault="00973D19" w:rsidP="002465EC">
            <w:pPr>
              <w:jc w:val="center"/>
            </w:pPr>
            <w:r w:rsidRPr="000E28FB">
              <w:t>(0.318)</w:t>
            </w:r>
          </w:p>
        </w:tc>
        <w:tc>
          <w:tcPr>
            <w:tcW w:w="0" w:type="auto"/>
            <w:vAlign w:val="center"/>
            <w:hideMark/>
          </w:tcPr>
          <w:p w14:paraId="004D9815" w14:textId="77777777" w:rsidR="00973D19" w:rsidRPr="000E28FB" w:rsidRDefault="00973D19" w:rsidP="002465EC">
            <w:pPr>
              <w:jc w:val="center"/>
            </w:pPr>
            <w:r w:rsidRPr="000E28FB">
              <w:t>(0.313)</w:t>
            </w:r>
          </w:p>
        </w:tc>
        <w:tc>
          <w:tcPr>
            <w:tcW w:w="0" w:type="auto"/>
            <w:vAlign w:val="center"/>
            <w:hideMark/>
          </w:tcPr>
          <w:p w14:paraId="3BCFFF33" w14:textId="77777777" w:rsidR="00973D19" w:rsidRPr="000E28FB" w:rsidRDefault="00973D19" w:rsidP="002465EC">
            <w:pPr>
              <w:jc w:val="center"/>
            </w:pPr>
            <w:r w:rsidRPr="000E28FB">
              <w:t>(0.692)</w:t>
            </w:r>
          </w:p>
        </w:tc>
        <w:tc>
          <w:tcPr>
            <w:tcW w:w="0" w:type="auto"/>
            <w:vAlign w:val="center"/>
            <w:hideMark/>
          </w:tcPr>
          <w:p w14:paraId="357E0964" w14:textId="77777777" w:rsidR="00973D19" w:rsidRPr="000E28FB" w:rsidRDefault="00973D19" w:rsidP="002465EC">
            <w:pPr>
              <w:jc w:val="center"/>
            </w:pPr>
            <w:r w:rsidRPr="000E28FB">
              <w:t>(0.642)</w:t>
            </w:r>
          </w:p>
        </w:tc>
        <w:tc>
          <w:tcPr>
            <w:tcW w:w="0" w:type="auto"/>
            <w:vAlign w:val="center"/>
            <w:hideMark/>
          </w:tcPr>
          <w:p w14:paraId="3F3B1C97" w14:textId="77777777" w:rsidR="00973D19" w:rsidRPr="000E28FB" w:rsidRDefault="00973D19" w:rsidP="002465EC">
            <w:pPr>
              <w:jc w:val="center"/>
            </w:pPr>
            <w:r w:rsidRPr="000E28FB">
              <w:t>(0.321)</w:t>
            </w:r>
          </w:p>
        </w:tc>
        <w:tc>
          <w:tcPr>
            <w:tcW w:w="0" w:type="auto"/>
            <w:vAlign w:val="center"/>
            <w:hideMark/>
          </w:tcPr>
          <w:p w14:paraId="59C4AFD6" w14:textId="77777777" w:rsidR="00973D19" w:rsidRPr="000E28FB" w:rsidRDefault="00973D19" w:rsidP="002465EC">
            <w:pPr>
              <w:jc w:val="center"/>
            </w:pPr>
            <w:r w:rsidRPr="000E28FB">
              <w:t>(0.722)</w:t>
            </w:r>
          </w:p>
        </w:tc>
      </w:tr>
      <w:tr w:rsidR="00B46696" w:rsidRPr="000E28FB" w14:paraId="2E02DB97" w14:textId="77777777" w:rsidTr="002465EC">
        <w:trPr>
          <w:tblCellSpacing w:w="15" w:type="dxa"/>
        </w:trPr>
        <w:tc>
          <w:tcPr>
            <w:tcW w:w="0" w:type="auto"/>
            <w:vAlign w:val="center"/>
            <w:hideMark/>
          </w:tcPr>
          <w:p w14:paraId="66A94F4A" w14:textId="77777777" w:rsidR="00973D19" w:rsidRPr="000E28FB" w:rsidRDefault="00973D19" w:rsidP="002465EC">
            <w:pPr>
              <w:jc w:val="center"/>
            </w:pPr>
          </w:p>
        </w:tc>
        <w:tc>
          <w:tcPr>
            <w:tcW w:w="0" w:type="auto"/>
            <w:vAlign w:val="center"/>
            <w:hideMark/>
          </w:tcPr>
          <w:p w14:paraId="0853C5D1" w14:textId="77777777" w:rsidR="00973D19" w:rsidRPr="000E28FB" w:rsidRDefault="00973D19" w:rsidP="002465EC">
            <w:pPr>
              <w:rPr>
                <w:sz w:val="20"/>
                <w:szCs w:val="20"/>
              </w:rPr>
            </w:pPr>
          </w:p>
        </w:tc>
        <w:tc>
          <w:tcPr>
            <w:tcW w:w="0" w:type="auto"/>
            <w:vAlign w:val="center"/>
            <w:hideMark/>
          </w:tcPr>
          <w:p w14:paraId="10D8A70A" w14:textId="77777777" w:rsidR="00973D19" w:rsidRPr="000E28FB" w:rsidRDefault="00973D19" w:rsidP="002465EC">
            <w:pPr>
              <w:jc w:val="center"/>
              <w:rPr>
                <w:sz w:val="20"/>
                <w:szCs w:val="20"/>
              </w:rPr>
            </w:pPr>
          </w:p>
        </w:tc>
        <w:tc>
          <w:tcPr>
            <w:tcW w:w="0" w:type="auto"/>
            <w:vAlign w:val="center"/>
            <w:hideMark/>
          </w:tcPr>
          <w:p w14:paraId="628CE261" w14:textId="77777777" w:rsidR="00973D19" w:rsidRPr="000E28FB" w:rsidRDefault="00973D19" w:rsidP="002465EC">
            <w:pPr>
              <w:jc w:val="center"/>
              <w:rPr>
                <w:sz w:val="20"/>
                <w:szCs w:val="20"/>
              </w:rPr>
            </w:pPr>
          </w:p>
        </w:tc>
        <w:tc>
          <w:tcPr>
            <w:tcW w:w="0" w:type="auto"/>
            <w:vAlign w:val="center"/>
            <w:hideMark/>
          </w:tcPr>
          <w:p w14:paraId="51D58279" w14:textId="77777777" w:rsidR="00973D19" w:rsidRPr="000E28FB" w:rsidRDefault="00973D19" w:rsidP="002465EC">
            <w:pPr>
              <w:jc w:val="center"/>
              <w:rPr>
                <w:sz w:val="20"/>
                <w:szCs w:val="20"/>
              </w:rPr>
            </w:pPr>
          </w:p>
        </w:tc>
        <w:tc>
          <w:tcPr>
            <w:tcW w:w="0" w:type="auto"/>
            <w:vAlign w:val="center"/>
            <w:hideMark/>
          </w:tcPr>
          <w:p w14:paraId="06FB30A1" w14:textId="77777777" w:rsidR="00973D19" w:rsidRPr="000E28FB" w:rsidRDefault="00973D19" w:rsidP="002465EC">
            <w:pPr>
              <w:jc w:val="center"/>
              <w:rPr>
                <w:sz w:val="20"/>
                <w:szCs w:val="20"/>
              </w:rPr>
            </w:pPr>
          </w:p>
        </w:tc>
        <w:tc>
          <w:tcPr>
            <w:tcW w:w="0" w:type="auto"/>
            <w:vAlign w:val="center"/>
            <w:hideMark/>
          </w:tcPr>
          <w:p w14:paraId="6D854DB4" w14:textId="77777777" w:rsidR="00973D19" w:rsidRPr="000E28FB" w:rsidRDefault="00973D19" w:rsidP="002465EC">
            <w:pPr>
              <w:jc w:val="center"/>
              <w:rPr>
                <w:sz w:val="20"/>
                <w:szCs w:val="20"/>
              </w:rPr>
            </w:pPr>
          </w:p>
        </w:tc>
      </w:tr>
      <w:tr w:rsidR="00973D19" w:rsidRPr="000E28FB" w14:paraId="5C3641C8" w14:textId="77777777" w:rsidTr="002465EC">
        <w:trPr>
          <w:tblCellSpacing w:w="15" w:type="dxa"/>
        </w:trPr>
        <w:tc>
          <w:tcPr>
            <w:tcW w:w="0" w:type="auto"/>
            <w:gridSpan w:val="7"/>
            <w:tcBorders>
              <w:bottom w:val="single" w:sz="6" w:space="0" w:color="000000"/>
            </w:tcBorders>
            <w:vAlign w:val="center"/>
            <w:hideMark/>
          </w:tcPr>
          <w:p w14:paraId="3EAF0A98" w14:textId="77777777" w:rsidR="00973D19" w:rsidRPr="000E28FB" w:rsidRDefault="00973D19" w:rsidP="002465EC">
            <w:pPr>
              <w:jc w:val="center"/>
              <w:rPr>
                <w:sz w:val="20"/>
                <w:szCs w:val="20"/>
              </w:rPr>
            </w:pPr>
          </w:p>
        </w:tc>
      </w:tr>
      <w:tr w:rsidR="00B46696" w:rsidRPr="000E28FB" w14:paraId="37CB564C" w14:textId="77777777" w:rsidTr="002465EC">
        <w:trPr>
          <w:tblCellSpacing w:w="15" w:type="dxa"/>
        </w:trPr>
        <w:tc>
          <w:tcPr>
            <w:tcW w:w="0" w:type="auto"/>
            <w:vAlign w:val="center"/>
            <w:hideMark/>
          </w:tcPr>
          <w:p w14:paraId="28868A52" w14:textId="77777777" w:rsidR="00973D19" w:rsidRPr="000E28FB" w:rsidRDefault="00973D19" w:rsidP="002465EC">
            <w:r w:rsidRPr="000E28FB">
              <w:t>Observations</w:t>
            </w:r>
          </w:p>
        </w:tc>
        <w:tc>
          <w:tcPr>
            <w:tcW w:w="0" w:type="auto"/>
            <w:vAlign w:val="center"/>
            <w:hideMark/>
          </w:tcPr>
          <w:p w14:paraId="4C753E82" w14:textId="77777777" w:rsidR="00973D19" w:rsidRPr="000E28FB" w:rsidRDefault="00973D19" w:rsidP="002465EC">
            <w:pPr>
              <w:jc w:val="center"/>
            </w:pPr>
            <w:r w:rsidRPr="000E28FB">
              <w:t>895</w:t>
            </w:r>
          </w:p>
        </w:tc>
        <w:tc>
          <w:tcPr>
            <w:tcW w:w="0" w:type="auto"/>
            <w:vAlign w:val="center"/>
            <w:hideMark/>
          </w:tcPr>
          <w:p w14:paraId="48EBEF72" w14:textId="77777777" w:rsidR="00973D19" w:rsidRPr="000E28FB" w:rsidRDefault="00973D19" w:rsidP="002465EC">
            <w:pPr>
              <w:jc w:val="center"/>
            </w:pPr>
            <w:r w:rsidRPr="000E28FB">
              <w:t>895</w:t>
            </w:r>
          </w:p>
        </w:tc>
        <w:tc>
          <w:tcPr>
            <w:tcW w:w="0" w:type="auto"/>
            <w:vAlign w:val="center"/>
            <w:hideMark/>
          </w:tcPr>
          <w:p w14:paraId="1E4DC9AC" w14:textId="77777777" w:rsidR="00973D19" w:rsidRPr="000E28FB" w:rsidRDefault="00973D19" w:rsidP="002465EC">
            <w:pPr>
              <w:jc w:val="center"/>
            </w:pPr>
            <w:r w:rsidRPr="000E28FB">
              <w:t>895</w:t>
            </w:r>
          </w:p>
        </w:tc>
        <w:tc>
          <w:tcPr>
            <w:tcW w:w="0" w:type="auto"/>
            <w:vAlign w:val="center"/>
            <w:hideMark/>
          </w:tcPr>
          <w:p w14:paraId="293E9C7C" w14:textId="77777777" w:rsidR="00973D19" w:rsidRPr="000E28FB" w:rsidRDefault="00973D19" w:rsidP="002465EC">
            <w:pPr>
              <w:jc w:val="center"/>
            </w:pPr>
            <w:r w:rsidRPr="000E28FB">
              <w:t>895</w:t>
            </w:r>
          </w:p>
        </w:tc>
        <w:tc>
          <w:tcPr>
            <w:tcW w:w="0" w:type="auto"/>
            <w:vAlign w:val="center"/>
            <w:hideMark/>
          </w:tcPr>
          <w:p w14:paraId="62060215" w14:textId="77777777" w:rsidR="00973D19" w:rsidRPr="000E28FB" w:rsidRDefault="00973D19" w:rsidP="002465EC">
            <w:pPr>
              <w:jc w:val="center"/>
            </w:pPr>
            <w:r w:rsidRPr="000E28FB">
              <w:t>895</w:t>
            </w:r>
          </w:p>
        </w:tc>
        <w:tc>
          <w:tcPr>
            <w:tcW w:w="0" w:type="auto"/>
            <w:vAlign w:val="center"/>
            <w:hideMark/>
          </w:tcPr>
          <w:p w14:paraId="1B8AD2F2" w14:textId="77777777" w:rsidR="00973D19" w:rsidRPr="000E28FB" w:rsidRDefault="00973D19" w:rsidP="002465EC">
            <w:pPr>
              <w:jc w:val="center"/>
            </w:pPr>
            <w:r w:rsidRPr="000E28FB">
              <w:t>895</w:t>
            </w:r>
          </w:p>
        </w:tc>
      </w:tr>
      <w:tr w:rsidR="00B46696" w:rsidRPr="000E28FB" w14:paraId="57541FCC" w14:textId="77777777" w:rsidTr="002465EC">
        <w:trPr>
          <w:tblCellSpacing w:w="15" w:type="dxa"/>
        </w:trPr>
        <w:tc>
          <w:tcPr>
            <w:tcW w:w="0" w:type="auto"/>
            <w:vAlign w:val="center"/>
            <w:hideMark/>
          </w:tcPr>
          <w:p w14:paraId="0EBA66EC" w14:textId="77777777" w:rsidR="00973D19" w:rsidRPr="000E28FB" w:rsidRDefault="00973D19" w:rsidP="002465EC">
            <w:r w:rsidRPr="000E28FB">
              <w:t>Log Likelihood</w:t>
            </w:r>
          </w:p>
        </w:tc>
        <w:tc>
          <w:tcPr>
            <w:tcW w:w="0" w:type="auto"/>
            <w:vAlign w:val="center"/>
            <w:hideMark/>
          </w:tcPr>
          <w:p w14:paraId="200B1FE3" w14:textId="77777777" w:rsidR="00973D19" w:rsidRPr="000E28FB" w:rsidRDefault="00973D19" w:rsidP="002465EC">
            <w:pPr>
              <w:jc w:val="center"/>
            </w:pPr>
            <w:r w:rsidRPr="000E28FB">
              <w:t>-90.730</w:t>
            </w:r>
          </w:p>
        </w:tc>
        <w:tc>
          <w:tcPr>
            <w:tcW w:w="0" w:type="auto"/>
            <w:vAlign w:val="center"/>
            <w:hideMark/>
          </w:tcPr>
          <w:p w14:paraId="65D30B20" w14:textId="77777777" w:rsidR="00973D19" w:rsidRPr="000E28FB" w:rsidRDefault="00973D19" w:rsidP="002465EC">
            <w:pPr>
              <w:jc w:val="center"/>
            </w:pPr>
            <w:r w:rsidRPr="000E28FB">
              <w:t>-86.815</w:t>
            </w:r>
          </w:p>
        </w:tc>
        <w:tc>
          <w:tcPr>
            <w:tcW w:w="0" w:type="auto"/>
            <w:vAlign w:val="center"/>
            <w:hideMark/>
          </w:tcPr>
          <w:p w14:paraId="6C5EA549" w14:textId="77777777" w:rsidR="00973D19" w:rsidRPr="000E28FB" w:rsidRDefault="00973D19" w:rsidP="002465EC">
            <w:pPr>
              <w:jc w:val="center"/>
            </w:pPr>
            <w:r w:rsidRPr="000E28FB">
              <w:t>-88.408</w:t>
            </w:r>
          </w:p>
        </w:tc>
        <w:tc>
          <w:tcPr>
            <w:tcW w:w="0" w:type="auto"/>
            <w:vAlign w:val="center"/>
            <w:hideMark/>
          </w:tcPr>
          <w:p w14:paraId="05F7D97C" w14:textId="77777777" w:rsidR="00973D19" w:rsidRPr="000E28FB" w:rsidRDefault="00973D19" w:rsidP="002465EC">
            <w:pPr>
              <w:jc w:val="center"/>
            </w:pPr>
            <w:r w:rsidRPr="000E28FB">
              <w:t>-86.202</w:t>
            </w:r>
          </w:p>
        </w:tc>
        <w:tc>
          <w:tcPr>
            <w:tcW w:w="0" w:type="auto"/>
            <w:vAlign w:val="center"/>
            <w:hideMark/>
          </w:tcPr>
          <w:p w14:paraId="105F162F" w14:textId="77777777" w:rsidR="00973D19" w:rsidRPr="000E28FB" w:rsidRDefault="00973D19" w:rsidP="002465EC">
            <w:pPr>
              <w:jc w:val="center"/>
            </w:pPr>
            <w:r w:rsidRPr="000E28FB">
              <w:t>-84.678</w:t>
            </w:r>
          </w:p>
        </w:tc>
        <w:tc>
          <w:tcPr>
            <w:tcW w:w="0" w:type="auto"/>
            <w:vAlign w:val="center"/>
            <w:hideMark/>
          </w:tcPr>
          <w:p w14:paraId="2AE2BC07" w14:textId="77777777" w:rsidR="00973D19" w:rsidRPr="000E28FB" w:rsidRDefault="00973D19" w:rsidP="002465EC">
            <w:pPr>
              <w:jc w:val="center"/>
            </w:pPr>
            <w:r w:rsidRPr="000E28FB">
              <w:t>-83.517</w:t>
            </w:r>
          </w:p>
        </w:tc>
      </w:tr>
      <w:tr w:rsidR="00B46696" w:rsidRPr="000E28FB" w14:paraId="2C948632" w14:textId="77777777" w:rsidTr="002465EC">
        <w:trPr>
          <w:tblCellSpacing w:w="15" w:type="dxa"/>
        </w:trPr>
        <w:tc>
          <w:tcPr>
            <w:tcW w:w="0" w:type="auto"/>
            <w:vAlign w:val="center"/>
            <w:hideMark/>
          </w:tcPr>
          <w:p w14:paraId="5154CB58" w14:textId="77777777" w:rsidR="00973D19" w:rsidRPr="000E28FB" w:rsidRDefault="00973D19" w:rsidP="002465EC">
            <w:r w:rsidRPr="000E28FB">
              <w:t>Akaike Inf. Crit.</w:t>
            </w:r>
          </w:p>
        </w:tc>
        <w:tc>
          <w:tcPr>
            <w:tcW w:w="0" w:type="auto"/>
            <w:vAlign w:val="center"/>
            <w:hideMark/>
          </w:tcPr>
          <w:p w14:paraId="3D09E0EF" w14:textId="77777777" w:rsidR="00973D19" w:rsidRPr="000E28FB" w:rsidRDefault="00973D19" w:rsidP="002465EC">
            <w:pPr>
              <w:jc w:val="center"/>
            </w:pPr>
            <w:r w:rsidRPr="000E28FB">
              <w:t>187.460</w:t>
            </w:r>
          </w:p>
        </w:tc>
        <w:tc>
          <w:tcPr>
            <w:tcW w:w="0" w:type="auto"/>
            <w:vAlign w:val="center"/>
            <w:hideMark/>
          </w:tcPr>
          <w:p w14:paraId="3F07153A" w14:textId="77777777" w:rsidR="00973D19" w:rsidRPr="000E28FB" w:rsidRDefault="00973D19" w:rsidP="002465EC">
            <w:pPr>
              <w:jc w:val="center"/>
            </w:pPr>
            <w:r w:rsidRPr="000E28FB">
              <w:t>179.629</w:t>
            </w:r>
          </w:p>
        </w:tc>
        <w:tc>
          <w:tcPr>
            <w:tcW w:w="0" w:type="auto"/>
            <w:vAlign w:val="center"/>
            <w:hideMark/>
          </w:tcPr>
          <w:p w14:paraId="0DC63B33" w14:textId="77777777" w:rsidR="00973D19" w:rsidRPr="000E28FB" w:rsidRDefault="00973D19" w:rsidP="002465EC">
            <w:pPr>
              <w:jc w:val="center"/>
            </w:pPr>
            <w:r w:rsidRPr="000E28FB">
              <w:t>186.817</w:t>
            </w:r>
          </w:p>
        </w:tc>
        <w:tc>
          <w:tcPr>
            <w:tcW w:w="0" w:type="auto"/>
            <w:vAlign w:val="center"/>
            <w:hideMark/>
          </w:tcPr>
          <w:p w14:paraId="08D9C0F0" w14:textId="77777777" w:rsidR="00973D19" w:rsidRPr="000E28FB" w:rsidRDefault="00973D19" w:rsidP="002465EC">
            <w:pPr>
              <w:jc w:val="center"/>
            </w:pPr>
            <w:r w:rsidRPr="000E28FB">
              <w:t>182.404</w:t>
            </w:r>
          </w:p>
        </w:tc>
        <w:tc>
          <w:tcPr>
            <w:tcW w:w="0" w:type="auto"/>
            <w:vAlign w:val="center"/>
            <w:hideMark/>
          </w:tcPr>
          <w:p w14:paraId="24CB6D83" w14:textId="77777777" w:rsidR="00973D19" w:rsidRPr="000E28FB" w:rsidRDefault="00973D19" w:rsidP="002465EC">
            <w:pPr>
              <w:jc w:val="center"/>
            </w:pPr>
            <w:r w:rsidRPr="000E28FB">
              <w:t>177.356</w:t>
            </w:r>
          </w:p>
        </w:tc>
        <w:tc>
          <w:tcPr>
            <w:tcW w:w="0" w:type="auto"/>
            <w:vAlign w:val="center"/>
            <w:hideMark/>
          </w:tcPr>
          <w:p w14:paraId="2B350884" w14:textId="77777777" w:rsidR="00973D19" w:rsidRPr="000E28FB" w:rsidRDefault="00973D19" w:rsidP="002465EC">
            <w:pPr>
              <w:jc w:val="center"/>
            </w:pPr>
            <w:r w:rsidRPr="000E28FB">
              <w:t>179.035</w:t>
            </w:r>
          </w:p>
        </w:tc>
      </w:tr>
      <w:tr w:rsidR="00973D19" w:rsidRPr="000E28FB" w14:paraId="1870C183" w14:textId="77777777" w:rsidTr="002465EC">
        <w:trPr>
          <w:tblCellSpacing w:w="15" w:type="dxa"/>
        </w:trPr>
        <w:tc>
          <w:tcPr>
            <w:tcW w:w="0" w:type="auto"/>
            <w:gridSpan w:val="7"/>
            <w:tcBorders>
              <w:bottom w:val="single" w:sz="6" w:space="0" w:color="000000"/>
            </w:tcBorders>
            <w:vAlign w:val="center"/>
            <w:hideMark/>
          </w:tcPr>
          <w:p w14:paraId="58ED08A0" w14:textId="77777777" w:rsidR="00973D19" w:rsidRPr="000E28FB" w:rsidRDefault="00973D19" w:rsidP="002465EC">
            <w:pPr>
              <w:jc w:val="center"/>
            </w:pPr>
          </w:p>
        </w:tc>
      </w:tr>
      <w:tr w:rsidR="00973D19" w:rsidRPr="000E28FB" w14:paraId="57DE0E6E" w14:textId="77777777" w:rsidTr="002465EC">
        <w:trPr>
          <w:tblCellSpacing w:w="15" w:type="dxa"/>
        </w:trPr>
        <w:tc>
          <w:tcPr>
            <w:tcW w:w="0" w:type="auto"/>
            <w:vAlign w:val="center"/>
            <w:hideMark/>
          </w:tcPr>
          <w:p w14:paraId="38BC7AD5" w14:textId="77777777" w:rsidR="00973D19" w:rsidRPr="000E28FB" w:rsidRDefault="00973D19" w:rsidP="002465EC">
            <w:r w:rsidRPr="000E28FB">
              <w:rPr>
                <w:i/>
                <w:iCs/>
              </w:rPr>
              <w:t>Note:</w:t>
            </w:r>
          </w:p>
        </w:tc>
        <w:tc>
          <w:tcPr>
            <w:tcW w:w="0" w:type="auto"/>
            <w:gridSpan w:val="6"/>
            <w:vAlign w:val="center"/>
            <w:hideMark/>
          </w:tcPr>
          <w:p w14:paraId="31C118B8" w14:textId="77777777" w:rsidR="00973D19" w:rsidRPr="000E28FB" w:rsidRDefault="00973D19" w:rsidP="002465EC">
            <w:pPr>
              <w:jc w:val="right"/>
            </w:pPr>
            <w:r w:rsidRPr="000E28FB">
              <w:t>+p&lt;0.1; *p&lt;0.05; **p&lt;0.01; ***p&lt;0.001</w:t>
            </w:r>
          </w:p>
        </w:tc>
      </w:tr>
    </w:tbl>
    <w:p w14:paraId="14E34C00" w14:textId="631FBC10" w:rsidR="00973D19" w:rsidRDefault="00973D19" w:rsidP="00785129">
      <w:pPr>
        <w:spacing w:line="480" w:lineRule="auto"/>
        <w:ind w:firstLine="720"/>
      </w:pPr>
    </w:p>
    <w:p w14:paraId="537E922C" w14:textId="4780494F" w:rsidR="00E1611D" w:rsidRDefault="004D3E92" w:rsidP="00785129">
      <w:pPr>
        <w:spacing w:line="480" w:lineRule="auto"/>
        <w:ind w:firstLine="720"/>
      </w:pPr>
      <w:r>
        <w:t xml:space="preserve">Having demonstrated that the relationship between both religion and membership practices and the likelihood of ceasing activity in a year support both Hypotheses 1 and 2, I now turn to see whether these </w:t>
      </w:r>
      <w:r w:rsidR="00E1611D">
        <w:t>result</w:t>
      </w:r>
      <w:r>
        <w:t>s</w:t>
      </w:r>
      <w:r w:rsidR="00E1611D">
        <w:t xml:space="preserve"> </w:t>
      </w:r>
      <w:proofErr w:type="gramStart"/>
      <w:r w:rsidR="00E1611D">
        <w:t>holds</w:t>
      </w:r>
      <w:proofErr w:type="gramEnd"/>
      <w:r w:rsidR="00E1611D">
        <w:t xml:space="preserve"> when controlling for basic controls of democracy and GDP</w:t>
      </w:r>
      <w:r w:rsidR="00F71833">
        <w:t xml:space="preserve"> in case richer countries or those with more civil liberties allow organizations greater ability to publicly proclaim religion and membership practices as well as to persist in political activity.</w:t>
      </w:r>
      <w:r>
        <w:t xml:space="preserve"> </w:t>
      </w:r>
      <w:r>
        <w:lastRenderedPageBreak/>
        <w:t>In Model 3 (Column 3 in Table 6 above), I find that there is a significant and negative coefficient for religion on the log-likelihood of ceasing activity in a year. Thus, religious organizations have a significantly smaller likelihood of ceasing activity in a year than nonreligious organizations even when controlling for democracy and GDP.</w:t>
      </w:r>
      <w:r w:rsidR="00F71833">
        <w:t xml:space="preserve"> Similarly, I find that the predicted probability of ceasing activity in a </w:t>
      </w:r>
      <w:proofErr w:type="gramStart"/>
      <w:r w:rsidR="00F71833">
        <w:t>year decreases</w:t>
      </w:r>
      <w:proofErr w:type="gramEnd"/>
      <w:r w:rsidR="00F71833">
        <w:t xml:space="preserve"> by .032 (Figure 3 below and Row 3 in Table 5 above</w:t>
      </w:r>
      <w:r w:rsidR="008B0116">
        <w:t>)</w:t>
      </w:r>
      <w:r w:rsidR="00F71833">
        <w:t>, similar to the situation without the controls. Greater wealth and civil liberties, therefore, do not influence the evidence for Hypothesis 1.</w:t>
      </w:r>
    </w:p>
    <w:p w14:paraId="7C5C9047" w14:textId="37D7A6C0" w:rsidR="00F71833" w:rsidRDefault="00F71833" w:rsidP="00256048">
      <w:pPr>
        <w:spacing w:line="480" w:lineRule="auto"/>
        <w:ind w:firstLine="720"/>
        <w:jc w:val="center"/>
      </w:pPr>
      <w:r>
        <w:rPr>
          <w:noProof/>
        </w:rPr>
        <w:drawing>
          <wp:inline distT="0" distB="0" distL="0" distR="0" wp14:anchorId="3E9C0204" wp14:editId="5220DD25">
            <wp:extent cx="2857500" cy="2857500"/>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C89AA97" w14:textId="26CD8E10" w:rsidR="00F71833" w:rsidRPr="00256048" w:rsidRDefault="00F71833" w:rsidP="00256048">
      <w:pPr>
        <w:spacing w:line="480" w:lineRule="auto"/>
        <w:rPr>
          <w:b/>
          <w:bCs/>
        </w:rPr>
      </w:pPr>
      <w:r w:rsidRPr="002465EC">
        <w:rPr>
          <w:b/>
          <w:bCs/>
        </w:rPr>
        <w:t xml:space="preserve">Figure </w:t>
      </w:r>
      <w:r>
        <w:rPr>
          <w:b/>
          <w:bCs/>
        </w:rPr>
        <w:t>3</w:t>
      </w:r>
      <w:r w:rsidRPr="002465EC">
        <w:rPr>
          <w:b/>
          <w:bCs/>
        </w:rPr>
        <w:t xml:space="preserve">: Probability of Ending Activity due to </w:t>
      </w:r>
      <w:r>
        <w:rPr>
          <w:b/>
          <w:bCs/>
        </w:rPr>
        <w:t xml:space="preserve">Religion </w:t>
      </w:r>
      <w:r w:rsidRPr="002465EC">
        <w:rPr>
          <w:b/>
          <w:bCs/>
        </w:rPr>
        <w:t xml:space="preserve">(Model </w:t>
      </w:r>
      <w:r>
        <w:rPr>
          <w:b/>
          <w:bCs/>
        </w:rPr>
        <w:t>3</w:t>
      </w:r>
      <w:r w:rsidRPr="002465EC">
        <w:rPr>
          <w:b/>
          <w:bCs/>
        </w:rPr>
        <w:t xml:space="preserve"> </w:t>
      </w:r>
      <w:r>
        <w:rPr>
          <w:b/>
          <w:bCs/>
        </w:rPr>
        <w:t>– with Controls</w:t>
      </w:r>
      <w:r w:rsidRPr="002465EC">
        <w:rPr>
          <w:b/>
          <w:bCs/>
        </w:rPr>
        <w:t>)</w:t>
      </w:r>
    </w:p>
    <w:p w14:paraId="0E5ADCFC" w14:textId="2CBDE4C8" w:rsidR="00F71833" w:rsidRDefault="00F71833" w:rsidP="00B2781B">
      <w:pPr>
        <w:spacing w:line="480" w:lineRule="auto"/>
        <w:ind w:firstLine="720"/>
      </w:pPr>
      <w:r>
        <w:t xml:space="preserve">Turning again to Hypothesis 2, </w:t>
      </w:r>
      <w:r w:rsidR="00B2781B">
        <w:t xml:space="preserve">I </w:t>
      </w:r>
      <w:r w:rsidR="00BA0787">
        <w:t>estimate</w:t>
      </w:r>
      <w:r w:rsidR="00B2781B">
        <w:t xml:space="preserve"> Model 4 (Column 4 in Table 6 above) to estimate a relationship between membership practices and the log-likelihood of ceasing activity in a year while controlling for democracy and GDP. As with Hypothesis 1, the relationship between persistence and membership practices is </w:t>
      </w:r>
      <w:r w:rsidR="003B1AD6">
        <w:t xml:space="preserve">not explained by wealth or democracy; the log-likelihood of ending activity in a year is lower for organizations with membership practices than those without, regardless of the level of wealth or democracy, supporting Hypothesis 2. I also predicted probabilities from Model 4 (Figure 4 below and Row 4 in Table 5 above) which show </w:t>
      </w:r>
      <w:r w:rsidR="003B1AD6">
        <w:lastRenderedPageBreak/>
        <w:t xml:space="preserve">that the predicted probability of ending activity is .045 lower for organizations with membership practices than those without, controlling for wealth and democracy. Thus, </w:t>
      </w:r>
      <w:r w:rsidR="00FA1A25">
        <w:t xml:space="preserve">even considering that state-level wealth and democracy might assist organizations in persisting, </w:t>
      </w:r>
      <w:r w:rsidR="003B1AD6">
        <w:t xml:space="preserve">I </w:t>
      </w:r>
      <w:r w:rsidR="00FA1A25">
        <w:t xml:space="preserve">again </w:t>
      </w:r>
      <w:r w:rsidR="003B1AD6">
        <w:t>find strong evidence in favor of both Hypothesis 1 and 2</w:t>
      </w:r>
      <w:r w:rsidR="00FA1A25">
        <w:t>.</w:t>
      </w:r>
    </w:p>
    <w:p w14:paraId="1A08E5FA" w14:textId="135A6605" w:rsidR="00A11402" w:rsidRDefault="00A11402" w:rsidP="00256048">
      <w:pPr>
        <w:spacing w:line="480" w:lineRule="auto"/>
        <w:ind w:firstLine="720"/>
        <w:jc w:val="center"/>
      </w:pPr>
      <w:r>
        <w:rPr>
          <w:noProof/>
        </w:rPr>
        <w:drawing>
          <wp:inline distT="0" distB="0" distL="0" distR="0" wp14:anchorId="03AA561C" wp14:editId="103E97F5">
            <wp:extent cx="3162300" cy="31623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3B74BABB" w14:textId="70E0595C" w:rsidR="00A11402" w:rsidRPr="002465EC" w:rsidRDefault="00A11402" w:rsidP="00A11402">
      <w:pPr>
        <w:spacing w:line="480" w:lineRule="auto"/>
        <w:rPr>
          <w:b/>
          <w:bCs/>
        </w:rPr>
      </w:pPr>
      <w:r w:rsidRPr="002465EC">
        <w:rPr>
          <w:b/>
          <w:bCs/>
        </w:rPr>
        <w:t xml:space="preserve">Figure </w:t>
      </w:r>
      <w:r>
        <w:rPr>
          <w:b/>
          <w:bCs/>
        </w:rPr>
        <w:t>4</w:t>
      </w:r>
      <w:r w:rsidRPr="002465EC">
        <w:rPr>
          <w:b/>
          <w:bCs/>
        </w:rPr>
        <w:t xml:space="preserve">: Probability of Ending Activity due to </w:t>
      </w:r>
      <w:r>
        <w:rPr>
          <w:b/>
          <w:bCs/>
        </w:rPr>
        <w:t xml:space="preserve">Membership Practices </w:t>
      </w:r>
      <w:r w:rsidRPr="002465EC">
        <w:rPr>
          <w:b/>
          <w:bCs/>
        </w:rPr>
        <w:t xml:space="preserve">(Model </w:t>
      </w:r>
      <w:r>
        <w:rPr>
          <w:b/>
          <w:bCs/>
        </w:rPr>
        <w:t>4</w:t>
      </w:r>
      <w:r w:rsidRPr="002465EC">
        <w:rPr>
          <w:b/>
          <w:bCs/>
        </w:rPr>
        <w:t xml:space="preserve"> </w:t>
      </w:r>
      <w:r>
        <w:rPr>
          <w:b/>
          <w:bCs/>
        </w:rPr>
        <w:t>– with Controls</w:t>
      </w:r>
      <w:r w:rsidRPr="002465EC">
        <w:rPr>
          <w:b/>
          <w:bCs/>
        </w:rPr>
        <w:t>)</w:t>
      </w:r>
    </w:p>
    <w:p w14:paraId="44A744A8" w14:textId="21C580D2" w:rsidR="001A4650" w:rsidRDefault="00A11402" w:rsidP="001A4650">
      <w:pPr>
        <w:spacing w:line="480" w:lineRule="auto"/>
        <w:ind w:firstLine="720"/>
      </w:pPr>
      <w:r>
        <w:t>Having shown that religion or religion-like ideology and membership practices each increase an organization’s chance of persistence, alone and controlling for state-level wealth and civil liberties, in support of both Hypothesis 1 and 2, I now turn to whether both religion and membership practices impact persistence in the presence of the other. In Model 5 (Column 5 in Table 6 above), I</w:t>
      </w:r>
      <w:r w:rsidR="001A4650">
        <w:t xml:space="preserve"> estimate the log-likelihood of an organization ending activity in the next year conditional on both whether the organization is religious and whether it has membership practices, controlling only for the age of the organization as in Models 1 and 2. I find that the coefficient for whether an organization is religious is negative, suggesting that a religious </w:t>
      </w:r>
      <w:r w:rsidR="001A4650">
        <w:lastRenderedPageBreak/>
        <w:t xml:space="preserve">organization enjoys a smaller log-likelihood of ceasing activity in the next year, regardless of whether or not it also has membership practices. However, this evidence is weaker </w:t>
      </w:r>
      <w:bookmarkStart w:id="7" w:name="_Hlk113612698"/>
      <w:r w:rsidR="0049504C">
        <w:t xml:space="preserve">than the previous evidence </w:t>
      </w:r>
      <w:bookmarkEnd w:id="7"/>
      <w:r w:rsidR="001A4650">
        <w:t xml:space="preserve">as it is only statistically significant at the 10 percent significance level. </w:t>
      </w:r>
      <w:r w:rsidR="003B6369">
        <w:t>Similarly, I calculate that the predicted probability of religious organizations ending activity in the next year is</w:t>
      </w:r>
      <w:r w:rsidR="002F2C63">
        <w:t xml:space="preserve"> </w:t>
      </w:r>
      <w:r w:rsidR="003B6369">
        <w:t>.021 less than nonreligious organization</w:t>
      </w:r>
      <w:r w:rsidR="002F2C63">
        <w:t>s</w:t>
      </w:r>
      <w:r w:rsidR="003B6369">
        <w:t>, controlling for the presence of membership practices, but this difference is not statistically different from 0 at the ordinary 5 percent significance level (Figure 5 below and Row 5 in Table 5 above). Thus, I find some evidence in favor of Hypothesis 1 that religious organizations are more likely to persist than nonreligious organizations</w:t>
      </w:r>
      <w:r w:rsidR="00AF181F">
        <w:t>,</w:t>
      </w:r>
      <w:r w:rsidR="003B6369">
        <w:t xml:space="preserve"> even when controlling for whether the organization additionally </w:t>
      </w:r>
      <w:proofErr w:type="gramStart"/>
      <w:r w:rsidR="003B6369">
        <w:t>has membership practices</w:t>
      </w:r>
      <w:proofErr w:type="gramEnd"/>
      <w:r w:rsidR="003B6369">
        <w:t>, but this evidence is weaker than in the first models.</w:t>
      </w:r>
    </w:p>
    <w:p w14:paraId="6F5D55FB" w14:textId="11CB1DF8" w:rsidR="00A11402" w:rsidRDefault="001A4650" w:rsidP="00256048">
      <w:pPr>
        <w:spacing w:line="480" w:lineRule="auto"/>
        <w:ind w:firstLine="720"/>
        <w:jc w:val="center"/>
      </w:pPr>
      <w:r>
        <w:rPr>
          <w:noProof/>
        </w:rPr>
        <w:drawing>
          <wp:inline distT="0" distB="0" distL="0" distR="0" wp14:anchorId="0962FDF8" wp14:editId="35B5D22F">
            <wp:extent cx="2857500" cy="28575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CB173B2" w14:textId="42318690" w:rsidR="001A4650" w:rsidRPr="002465EC" w:rsidRDefault="000A0494" w:rsidP="001A4650">
      <w:pPr>
        <w:spacing w:line="480" w:lineRule="auto"/>
        <w:rPr>
          <w:b/>
          <w:bCs/>
        </w:rPr>
      </w:pPr>
      <w:r w:rsidRPr="00256048">
        <w:rPr>
          <w:b/>
          <w:bCs/>
        </w:rPr>
        <w:t>Figure 5:</w:t>
      </w:r>
      <w:r>
        <w:t xml:space="preserve"> </w:t>
      </w:r>
      <w:r w:rsidR="001A4650" w:rsidRPr="002465EC">
        <w:rPr>
          <w:b/>
          <w:bCs/>
        </w:rPr>
        <w:t xml:space="preserve">Probability of Ending Activity due to </w:t>
      </w:r>
      <w:r w:rsidR="001A4650">
        <w:rPr>
          <w:b/>
          <w:bCs/>
        </w:rPr>
        <w:t xml:space="preserve">Religion </w:t>
      </w:r>
      <w:r w:rsidR="001A4650" w:rsidRPr="002465EC">
        <w:rPr>
          <w:b/>
          <w:bCs/>
        </w:rPr>
        <w:t xml:space="preserve">(Model </w:t>
      </w:r>
      <w:r w:rsidR="001A4650">
        <w:rPr>
          <w:b/>
          <w:bCs/>
        </w:rPr>
        <w:t>5</w:t>
      </w:r>
      <w:r w:rsidR="001A4650" w:rsidRPr="002465EC">
        <w:rPr>
          <w:b/>
          <w:bCs/>
        </w:rPr>
        <w:t xml:space="preserve"> </w:t>
      </w:r>
      <w:r w:rsidR="001A4650">
        <w:rPr>
          <w:b/>
          <w:bCs/>
        </w:rPr>
        <w:t>–</w:t>
      </w:r>
      <w:r w:rsidR="00EC26E8">
        <w:rPr>
          <w:b/>
          <w:bCs/>
        </w:rPr>
        <w:t xml:space="preserve"> </w:t>
      </w:r>
      <w:r w:rsidR="003B6369">
        <w:rPr>
          <w:b/>
          <w:bCs/>
        </w:rPr>
        <w:t>Controlling for Membership Practices</w:t>
      </w:r>
      <w:r w:rsidR="001A4650" w:rsidRPr="002465EC">
        <w:rPr>
          <w:b/>
          <w:bCs/>
        </w:rPr>
        <w:t>)</w:t>
      </w:r>
    </w:p>
    <w:p w14:paraId="7F1B7E2E" w14:textId="1EE9C646" w:rsidR="003B6369" w:rsidRDefault="003B6369" w:rsidP="0066047D">
      <w:pPr>
        <w:spacing w:line="480" w:lineRule="auto"/>
      </w:pPr>
      <w:r>
        <w:tab/>
      </w:r>
      <w:r w:rsidR="0066047D">
        <w:t xml:space="preserve">Also from Model 5, I find that the log-likelihood of ceasing activity in a year is smaller for organizations which have membership practices, controlling for whether the organization is religious (or has a religion-like ideology). Similarly, I calculate that the predicted probability for </w:t>
      </w:r>
      <w:r w:rsidR="0066047D">
        <w:lastRenderedPageBreak/>
        <w:t xml:space="preserve">an organization ceasing activity is .039 less for an organization with membership practices than without, controlling for religion (Figure 6 below and Row 6 in Table 5 above). Therefore, I find strong evidence for Hypothesis 2 controlling for religion: organizations </w:t>
      </w:r>
      <w:r w:rsidR="00A83105">
        <w:t xml:space="preserve">with </w:t>
      </w:r>
      <w:r w:rsidR="0066047D">
        <w:t xml:space="preserve">membership practices </w:t>
      </w:r>
      <w:r w:rsidR="00A83105">
        <w:t>are more likely to persist, even regardless of whether they are religious.</w:t>
      </w:r>
    </w:p>
    <w:p w14:paraId="6D42EF94" w14:textId="77777777" w:rsidR="003B6369" w:rsidRDefault="003B6369" w:rsidP="000A0494">
      <w:pPr>
        <w:spacing w:line="480" w:lineRule="auto"/>
      </w:pPr>
    </w:p>
    <w:p w14:paraId="27280ABB" w14:textId="77777777" w:rsidR="00571EDE" w:rsidRDefault="003B6369" w:rsidP="00571EDE">
      <w:pPr>
        <w:spacing w:line="480" w:lineRule="auto"/>
        <w:jc w:val="center"/>
      </w:pPr>
      <w:r>
        <w:t xml:space="preserve">, </w:t>
      </w:r>
      <w:r>
        <w:rPr>
          <w:noProof/>
        </w:rPr>
        <w:drawing>
          <wp:inline distT="0" distB="0" distL="0" distR="0" wp14:anchorId="181E24AD" wp14:editId="5771C6AE">
            <wp:extent cx="2876550" cy="287655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6B1FBFB5" w14:textId="69742122" w:rsidR="003B6369" w:rsidRDefault="003B6369" w:rsidP="006A2574">
      <w:pPr>
        <w:spacing w:line="480" w:lineRule="auto"/>
        <w:rPr>
          <w:b/>
          <w:bCs/>
        </w:rPr>
      </w:pPr>
      <w:r w:rsidRPr="002465EC">
        <w:rPr>
          <w:b/>
          <w:bCs/>
        </w:rPr>
        <w:t xml:space="preserve">Figure </w:t>
      </w:r>
      <w:r>
        <w:rPr>
          <w:b/>
          <w:bCs/>
        </w:rPr>
        <w:t>6</w:t>
      </w:r>
      <w:r w:rsidRPr="002465EC">
        <w:rPr>
          <w:b/>
          <w:bCs/>
        </w:rPr>
        <w:t>:</w:t>
      </w:r>
      <w:r>
        <w:t xml:space="preserve"> </w:t>
      </w:r>
      <w:r w:rsidRPr="002465EC">
        <w:rPr>
          <w:b/>
          <w:bCs/>
        </w:rPr>
        <w:t xml:space="preserve">Probability of Ending Activity due to </w:t>
      </w:r>
      <w:r>
        <w:rPr>
          <w:b/>
          <w:bCs/>
        </w:rPr>
        <w:t xml:space="preserve">Membership Practices </w:t>
      </w:r>
      <w:r w:rsidRPr="002465EC">
        <w:rPr>
          <w:b/>
          <w:bCs/>
        </w:rPr>
        <w:t xml:space="preserve">(Model </w:t>
      </w:r>
      <w:r>
        <w:rPr>
          <w:b/>
          <w:bCs/>
        </w:rPr>
        <w:t>5</w:t>
      </w:r>
      <w:r w:rsidRPr="002465EC">
        <w:rPr>
          <w:b/>
          <w:bCs/>
        </w:rPr>
        <w:t xml:space="preserve"> </w:t>
      </w:r>
      <w:r>
        <w:rPr>
          <w:b/>
          <w:bCs/>
        </w:rPr>
        <w:t>–Controlling for Religion</w:t>
      </w:r>
      <w:r w:rsidRPr="002465EC">
        <w:rPr>
          <w:b/>
          <w:bCs/>
        </w:rPr>
        <w:t>)</w:t>
      </w:r>
    </w:p>
    <w:p w14:paraId="20341F22" w14:textId="14F4D3C0" w:rsidR="00A83105" w:rsidRDefault="009D6E27" w:rsidP="00D77A6B">
      <w:pPr>
        <w:spacing w:line="480" w:lineRule="auto"/>
      </w:pPr>
      <w:r w:rsidRPr="00256048">
        <w:tab/>
        <w:t xml:space="preserve">Finally, I </w:t>
      </w:r>
      <w:r>
        <w:t>estimate a final model (Model 6 – Column 6 in Table 6 above)</w:t>
      </w:r>
      <w:r w:rsidR="003943FA">
        <w:t xml:space="preserve"> with both religion and membership practice like Model 5 and controlling for democracy and GDP like Models 3 and 4 to examine whether religion and membership practices both have effects when controlling for each other as well as the potential that wealth and greater civil liberties allow organizations to greater freedom to practice religion and membership practices as well as persist. Here, I find strong evidence for both Hypotheses 1 and 2. The coefficients for both religion (or religion-like ideology) and membership practices are statistically significant and negative, so organizations with religion (or religion-like ideology) or membership practices are significantly </w:t>
      </w:r>
      <w:r w:rsidR="003943FA">
        <w:lastRenderedPageBreak/>
        <w:t xml:space="preserve">less likely to cease activity in a year, regardless of whether those organizations also have the other characteristic. This is also borne out in the predicted probabilities: religious organizations have a </w:t>
      </w:r>
      <w:r w:rsidR="00D77A6B">
        <w:t>.024 smaller probability of ceasing activity in a year (Figure 7 below and Row 7 in Table 5 above), and organizations with membership practices have a .035 smaller probability of ceasing activity (Figure 8 below and Row 8 in Table 5 above), controlling for the other characteristic as well as wealth and civil liberties.</w:t>
      </w:r>
      <w:r w:rsidR="00EC26E8">
        <w:t xml:space="preserve"> Both values are statistically different from 0. Thus, I find further support for both Hypotheses 1 and 2: religion (or religion-like ideology) and membership practices each have significant relationships with persistence, independently of the other characteristic.</w:t>
      </w:r>
    </w:p>
    <w:p w14:paraId="79799DCD" w14:textId="3CBE41B9" w:rsidR="00EC26E8" w:rsidRDefault="00EC26E8" w:rsidP="00EC26E8">
      <w:pPr>
        <w:spacing w:line="480" w:lineRule="auto"/>
        <w:jc w:val="center"/>
      </w:pPr>
      <w:r>
        <w:rPr>
          <w:noProof/>
        </w:rPr>
        <w:drawing>
          <wp:inline distT="0" distB="0" distL="0" distR="0" wp14:anchorId="78E8F381" wp14:editId="1BF09032">
            <wp:extent cx="2809875" cy="2809875"/>
            <wp:effectExtent l="0" t="0" r="9525" b="9525"/>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14:paraId="5015028A" w14:textId="5ED9ACEF" w:rsidR="00EC26E8" w:rsidRPr="002465EC" w:rsidRDefault="00EC26E8" w:rsidP="00EC26E8">
      <w:pPr>
        <w:spacing w:line="480" w:lineRule="auto"/>
        <w:rPr>
          <w:b/>
          <w:bCs/>
        </w:rPr>
      </w:pPr>
      <w:r w:rsidRPr="002465EC">
        <w:rPr>
          <w:b/>
          <w:bCs/>
        </w:rPr>
        <w:t xml:space="preserve">Figure </w:t>
      </w:r>
      <w:r>
        <w:rPr>
          <w:b/>
          <w:bCs/>
        </w:rPr>
        <w:t>7</w:t>
      </w:r>
      <w:r w:rsidRPr="002465EC">
        <w:rPr>
          <w:b/>
          <w:bCs/>
        </w:rPr>
        <w:t>:</w:t>
      </w:r>
      <w:r>
        <w:t xml:space="preserve"> </w:t>
      </w:r>
      <w:r w:rsidRPr="002465EC">
        <w:rPr>
          <w:b/>
          <w:bCs/>
        </w:rPr>
        <w:t xml:space="preserve">Probability of Ending Activity due to </w:t>
      </w:r>
      <w:r>
        <w:rPr>
          <w:b/>
          <w:bCs/>
        </w:rPr>
        <w:t xml:space="preserve">Religion </w:t>
      </w:r>
      <w:r w:rsidRPr="002465EC">
        <w:rPr>
          <w:b/>
          <w:bCs/>
        </w:rPr>
        <w:t xml:space="preserve">(Model </w:t>
      </w:r>
      <w:r>
        <w:rPr>
          <w:b/>
          <w:bCs/>
        </w:rPr>
        <w:t>6</w:t>
      </w:r>
      <w:r w:rsidRPr="002465EC">
        <w:rPr>
          <w:b/>
          <w:bCs/>
        </w:rPr>
        <w:t xml:space="preserve"> </w:t>
      </w:r>
      <w:r>
        <w:rPr>
          <w:b/>
          <w:bCs/>
        </w:rPr>
        <w:t>–Controlling for Membership Practices, GDP, and Democracy</w:t>
      </w:r>
      <w:r w:rsidRPr="002465EC">
        <w:rPr>
          <w:b/>
          <w:bCs/>
        </w:rPr>
        <w:t>)</w:t>
      </w:r>
    </w:p>
    <w:p w14:paraId="3D3581DE" w14:textId="4FFD0B5C" w:rsidR="00EC26E8" w:rsidRDefault="00EC26E8" w:rsidP="00571EDE">
      <w:pPr>
        <w:spacing w:line="480" w:lineRule="auto"/>
        <w:ind w:firstLine="720"/>
        <w:jc w:val="center"/>
      </w:pPr>
      <w:r>
        <w:rPr>
          <w:noProof/>
        </w:rPr>
        <w:lastRenderedPageBreak/>
        <w:drawing>
          <wp:inline distT="0" distB="0" distL="0" distR="0" wp14:anchorId="031BF683" wp14:editId="704D4010">
            <wp:extent cx="2924175" cy="2924175"/>
            <wp:effectExtent l="0" t="0" r="9525" b="9525"/>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p w14:paraId="3E3D7D05" w14:textId="54863E61" w:rsidR="00A25D2E" w:rsidRPr="00571EDE" w:rsidRDefault="00EC26E8" w:rsidP="00571EDE">
      <w:pPr>
        <w:spacing w:line="480" w:lineRule="auto"/>
        <w:rPr>
          <w:b/>
          <w:bCs/>
        </w:rPr>
      </w:pPr>
      <w:r w:rsidRPr="002465EC">
        <w:rPr>
          <w:b/>
          <w:bCs/>
        </w:rPr>
        <w:t xml:space="preserve">Figure </w:t>
      </w:r>
      <w:r>
        <w:rPr>
          <w:b/>
          <w:bCs/>
        </w:rPr>
        <w:t>8</w:t>
      </w:r>
      <w:r w:rsidRPr="002465EC">
        <w:rPr>
          <w:b/>
          <w:bCs/>
        </w:rPr>
        <w:t>:</w:t>
      </w:r>
      <w:r>
        <w:t xml:space="preserve"> </w:t>
      </w:r>
      <w:r w:rsidRPr="002465EC">
        <w:rPr>
          <w:b/>
          <w:bCs/>
        </w:rPr>
        <w:t xml:space="preserve">Probability of Ending Activity due to </w:t>
      </w:r>
      <w:r>
        <w:rPr>
          <w:b/>
          <w:bCs/>
        </w:rPr>
        <w:t xml:space="preserve">Membership Practices </w:t>
      </w:r>
      <w:r w:rsidRPr="002465EC">
        <w:rPr>
          <w:b/>
          <w:bCs/>
        </w:rPr>
        <w:t xml:space="preserve">(Model </w:t>
      </w:r>
      <w:r>
        <w:rPr>
          <w:b/>
          <w:bCs/>
        </w:rPr>
        <w:t>6</w:t>
      </w:r>
      <w:r w:rsidRPr="002465EC">
        <w:rPr>
          <w:b/>
          <w:bCs/>
        </w:rPr>
        <w:t xml:space="preserve"> </w:t>
      </w:r>
      <w:r>
        <w:rPr>
          <w:b/>
          <w:bCs/>
        </w:rPr>
        <w:t>–Controlling for Religion, GDP, and Democracy</w:t>
      </w:r>
      <w:r w:rsidRPr="002465EC">
        <w:rPr>
          <w:b/>
          <w:bCs/>
        </w:rPr>
        <w:t>)</w:t>
      </w:r>
    </w:p>
    <w:p w14:paraId="74AD18AB" w14:textId="73B7F4BC" w:rsidR="00DF5E19" w:rsidRDefault="00CA391A" w:rsidP="00CA391A">
      <w:pPr>
        <w:spacing w:line="480" w:lineRule="auto"/>
        <w:ind w:firstLine="720"/>
      </w:pPr>
      <w:r>
        <w:t xml:space="preserve">Together, </w:t>
      </w:r>
      <w:r w:rsidR="00DF5E19">
        <w:t xml:space="preserve">results of these models </w:t>
      </w:r>
      <w:r>
        <w:t xml:space="preserve">provide strong evidence in favor of both hypotheses: both religion (or religion-like ideology) and membership practices have significant relationships with persistence. The possibility that democracy or wealth at the country level permit an organization to </w:t>
      </w:r>
      <w:proofErr w:type="gramStart"/>
      <w:r>
        <w:t>more freely practice both religion and membership practices</w:t>
      </w:r>
      <w:proofErr w:type="gramEnd"/>
      <w:r>
        <w:t xml:space="preserve"> as well as persist does not explain these relationships. Moreover, both religion and membership practices have significant relationships with persistence controlling for the other characteristic. An organization can still enjoy increased persistence from either religion or membership practices regardless of whether it also has the other. Thus, these results </w:t>
      </w:r>
      <w:r w:rsidR="00DF5E19">
        <w:t xml:space="preserve">show that ideational factors do allow organizations in self-determination movements to persist in their demands over time. </w:t>
      </w:r>
    </w:p>
    <w:p w14:paraId="6EBD4400" w14:textId="012D0FD0" w:rsidR="008F221A" w:rsidRDefault="008F221A" w:rsidP="008F221A">
      <w:pPr>
        <w:pStyle w:val="Heading1"/>
        <w:spacing w:before="0" w:line="480" w:lineRule="auto"/>
      </w:pPr>
      <w:r>
        <w:t>Conclusion</w:t>
      </w:r>
    </w:p>
    <w:p w14:paraId="2D3BEB43" w14:textId="74278786" w:rsidR="008F221A" w:rsidRPr="00AA50BD" w:rsidRDefault="00DF5E19" w:rsidP="00A81470">
      <w:pPr>
        <w:spacing w:line="480" w:lineRule="auto"/>
      </w:pPr>
      <w:r>
        <w:tab/>
      </w:r>
      <w:r w:rsidR="00CA391A">
        <w:t xml:space="preserve">Both </w:t>
      </w:r>
      <w:proofErr w:type="gramStart"/>
      <w:r w:rsidR="00CC77F0">
        <w:t>religion</w:t>
      </w:r>
      <w:proofErr w:type="gramEnd"/>
      <w:r w:rsidR="00CA391A">
        <w:t>,</w:t>
      </w:r>
      <w:r w:rsidR="00CC77F0">
        <w:t xml:space="preserve"> </w:t>
      </w:r>
      <w:r w:rsidR="00CA391A">
        <w:t xml:space="preserve">including </w:t>
      </w:r>
      <w:r w:rsidR="00CC77F0">
        <w:t>religion-like ideology</w:t>
      </w:r>
      <w:r w:rsidR="00CA391A">
        <w:t>,</w:t>
      </w:r>
      <w:r w:rsidR="00CC77F0">
        <w:t xml:space="preserve"> and </w:t>
      </w:r>
      <w:r w:rsidR="00CA391A">
        <w:t xml:space="preserve">membership practices, that is, </w:t>
      </w:r>
      <w:r w:rsidR="00CC77F0">
        <w:t>standards of behavior and participation</w:t>
      </w:r>
      <w:r w:rsidR="008217E7">
        <w:t xml:space="preserve"> </w:t>
      </w:r>
      <w:bookmarkStart w:id="8" w:name="_Hlk113612827"/>
      <w:r w:rsidR="008217E7">
        <w:t>which an organization imposes upon its members</w:t>
      </w:r>
      <w:bookmarkEnd w:id="8"/>
      <w:r w:rsidR="00CC77F0">
        <w:t>, are significant factors in the ability of organizations to continue making demands against a state</w:t>
      </w:r>
      <w:r w:rsidR="00CA391A">
        <w:t xml:space="preserve"> over </w:t>
      </w:r>
      <w:r w:rsidR="00CA391A">
        <w:lastRenderedPageBreak/>
        <w:t>time</w:t>
      </w:r>
      <w:r w:rsidR="00CC77F0">
        <w:t xml:space="preserve">. </w:t>
      </w:r>
      <w:r w:rsidR="00193A22">
        <w:t xml:space="preserve">Thus, first, these results </w:t>
      </w:r>
      <w:r w:rsidR="00CC17AB">
        <w:t xml:space="preserve">identify specific </w:t>
      </w:r>
      <w:r w:rsidR="004302AD">
        <w:t xml:space="preserve">factors </w:t>
      </w:r>
      <w:r w:rsidR="00193A22">
        <w:t xml:space="preserve">of mobilization that influence the persistence of the set of potential rebel actors, those that ultimately do not become violent as well as those that do. </w:t>
      </w:r>
      <w:r w:rsidR="00573488">
        <w:t xml:space="preserve">Second, these results show that religion (and religion-like ideologies) have an effect on mobilization for self-determination movements outside of civil war, </w:t>
      </w:r>
      <w:r w:rsidR="00CC17AB">
        <w:t>extending the known findings that religion may encourage mobilization in war</w:t>
      </w:r>
      <w:r w:rsidR="00573488">
        <w:t xml:space="preserve">. Third, specific signals of commitment by organizational members made through participation in nonpolitical activities and standards of behavior, often but not </w:t>
      </w:r>
      <w:r w:rsidR="00A81470">
        <w:t xml:space="preserve">necessarily </w:t>
      </w:r>
      <w:r w:rsidR="00573488">
        <w:t xml:space="preserve">related to religion or a religion-like ideology, </w:t>
      </w:r>
      <w:r w:rsidR="00A81470">
        <w:t>have an independent impact from</w:t>
      </w:r>
      <w:r w:rsidR="008217E7">
        <w:t xml:space="preserve"> </w:t>
      </w:r>
      <w:bookmarkStart w:id="9" w:name="_Hlk113612883"/>
      <w:r w:rsidR="008217E7">
        <w:t>belief in</w:t>
      </w:r>
      <w:bookmarkEnd w:id="9"/>
      <w:r w:rsidR="00A81470">
        <w:t xml:space="preserve"> </w:t>
      </w:r>
      <w:r w:rsidR="00573488">
        <w:t xml:space="preserve">religion or ideology itself </w:t>
      </w:r>
      <w:r w:rsidR="00A81470">
        <w:t xml:space="preserve">on </w:t>
      </w:r>
      <w:r w:rsidR="00573488">
        <w:t>maintaining mobilization over time.</w:t>
      </w:r>
      <w:r w:rsidR="00CC17AB">
        <w:t xml:space="preserve"> This adds to the body of research on the mechanisms by which religion and religion-like ideologies may influence mobilization.</w:t>
      </w:r>
    </w:p>
    <w:p w14:paraId="338B9343" w14:textId="3CD56190" w:rsidR="00506790" w:rsidRDefault="00390994" w:rsidP="003A1551">
      <w:pPr>
        <w:spacing w:line="480" w:lineRule="auto"/>
        <w:ind w:firstLine="720"/>
      </w:pPr>
      <w:r>
        <w:t xml:space="preserve">These results have implications for the study of civil war duration and dynamics of contentious action. If factors, like religion, that influence civil war duration also influence the persistence of claim making organizations, then studies of religion and civil war </w:t>
      </w:r>
      <w:r w:rsidR="00A81470">
        <w:t xml:space="preserve">onset </w:t>
      </w:r>
      <w:r>
        <w:t>need to distinguish the effect of religion on mobilization for demand making from the effect of religion on a politically active organization to choose to engage in pursuing those claims by violence.</w:t>
      </w:r>
      <w:r w:rsidR="00835A6E">
        <w:t xml:space="preserve"> </w:t>
      </w:r>
      <w:r w:rsidR="00A81470">
        <w:t xml:space="preserve"> Second, the </w:t>
      </w:r>
      <w:r w:rsidR="00835A6E">
        <w:t xml:space="preserve">results also have implications for </w:t>
      </w:r>
      <w:r w:rsidR="00B43F88">
        <w:t xml:space="preserve">the study of the role of religion and ideology </w:t>
      </w:r>
      <w:r w:rsidR="00A81470">
        <w:t xml:space="preserve">on </w:t>
      </w:r>
      <w:r w:rsidR="00B43F88">
        <w:t>conflict</w:t>
      </w:r>
      <w:r w:rsidR="00A81470">
        <w:t xml:space="preserve"> duration</w:t>
      </w:r>
      <w:r w:rsidR="00B43F88">
        <w:t xml:space="preserve">. </w:t>
      </w:r>
      <w:r w:rsidR="006E2F57">
        <w:t xml:space="preserve">Deriving goals from religion or religion like ideology does allow an organization to persist. </w:t>
      </w:r>
      <w:r w:rsidR="00A81470">
        <w:t xml:space="preserve">Additionally </w:t>
      </w:r>
      <w:r w:rsidR="006E2F57">
        <w:t>important, m</w:t>
      </w:r>
      <w:r w:rsidR="00EB6A0D">
        <w:t xml:space="preserve">embership practices that provide </w:t>
      </w:r>
      <w:r w:rsidR="00B43F88">
        <w:t>signals of commitment</w:t>
      </w:r>
      <w:r w:rsidR="00EB6A0D">
        <w:t xml:space="preserve">, dictating </w:t>
      </w:r>
      <w:r w:rsidR="00B43F88">
        <w:t xml:space="preserve">standards of behavior and participation in nonpolitical activity, produce </w:t>
      </w:r>
      <w:r w:rsidR="00A81470">
        <w:t xml:space="preserve">independent </w:t>
      </w:r>
      <w:r w:rsidR="00B43F88">
        <w:t xml:space="preserve">results on </w:t>
      </w:r>
      <w:r w:rsidR="00EB6A0D">
        <w:t>organizational persistence</w:t>
      </w:r>
      <w:r w:rsidR="00B43F88">
        <w:t xml:space="preserve">. This </w:t>
      </w:r>
      <w:r w:rsidR="00A81470">
        <w:t xml:space="preserve">paper </w:t>
      </w:r>
      <w:r w:rsidR="00B43F88">
        <w:t xml:space="preserve">then adds to the study of research on the mechanisms of religion and ideology in violence and contentious politics. Specific behaviors, often associated with religion, but not necessarily so, </w:t>
      </w:r>
      <w:r w:rsidR="006E2F57">
        <w:t xml:space="preserve">are </w:t>
      </w:r>
      <w:r w:rsidR="00A81470">
        <w:t>an additional</w:t>
      </w:r>
      <w:r w:rsidR="006E2F57">
        <w:t xml:space="preserve"> </w:t>
      </w:r>
      <w:r w:rsidR="00A81470">
        <w:t xml:space="preserve">related to but distinct from </w:t>
      </w:r>
      <w:r w:rsidR="00B43F88">
        <w:t xml:space="preserve">religion itself, leading more evidence to the importance of considering specific </w:t>
      </w:r>
      <w:r w:rsidR="00B43F88">
        <w:lastRenderedPageBreak/>
        <w:t xml:space="preserve">mechanisms of religion rather than </w:t>
      </w:r>
      <w:r w:rsidR="006517A9">
        <w:t xml:space="preserve">simply </w:t>
      </w:r>
      <w:r w:rsidR="00B43F88">
        <w:t xml:space="preserve">studying religion as </w:t>
      </w:r>
      <w:r w:rsidR="006517A9">
        <w:t xml:space="preserve">a fixed </w:t>
      </w:r>
      <w:r w:rsidR="00B43F88">
        <w:t xml:space="preserve">identity. Future research on religion and conflict will need to continue to identify </w:t>
      </w:r>
      <w:r w:rsidR="0071241C">
        <w:t xml:space="preserve">such </w:t>
      </w:r>
      <w:r w:rsidR="00B43F88">
        <w:t>mechanisms</w:t>
      </w:r>
      <w:r w:rsidR="0071241C">
        <w:t xml:space="preserve"> rather than treating religion as a simple category associated with contentious organizations</w:t>
      </w:r>
      <w:r w:rsidR="00D14988">
        <w:t>, supporting calls made in previous research (Toft 2021, 1608)</w:t>
      </w:r>
      <w:r w:rsidR="0071241C">
        <w:t>.</w:t>
      </w:r>
    </w:p>
    <w:p w14:paraId="68AA1DE1" w14:textId="24DCAC4F" w:rsidR="00CD0402" w:rsidRDefault="008C58DD" w:rsidP="00E118F9">
      <w:pPr>
        <w:spacing w:line="480" w:lineRule="auto"/>
        <w:ind w:firstLine="720"/>
      </w:pPr>
      <w:r>
        <w:t>This article</w:t>
      </w:r>
      <w:r w:rsidR="00506790">
        <w:t xml:space="preserve"> explains important variation in an understudied topic adjacent to the study of civil war duration and the study of varieties of contentious action: the duration of claim-making organizations in self-determination movements. Because this is a set of potential civil war actors, including those that rebel and those that may not rebel, this is </w:t>
      </w:r>
      <w:r w:rsidR="00607902">
        <w:t xml:space="preserve">an important </w:t>
      </w:r>
      <w:r w:rsidR="00C011D4">
        <w:t xml:space="preserve">category of actors to study in its own right in order to understand mobilization accounting for the fact that violence is a strategic choice made by specific actors, not something that happens to a country, region, or ethnic group. </w:t>
      </w:r>
      <w:r w:rsidR="00E118F9">
        <w:t xml:space="preserve">It is specific organizations that make claims and choose to pursue violence or nonviolence in their pursuit. These organizations are more likely to persist when their members </w:t>
      </w:r>
      <w:r w:rsidR="00A81470">
        <w:t xml:space="preserve">have mobilized around demands explicitly based on religion or a religion-like ideology. They are additionally more likely to persist when their members </w:t>
      </w:r>
      <w:r w:rsidR="00E118F9">
        <w:t xml:space="preserve">show commitment to each other through standards of behavior and participation in nonpolitical activities. </w:t>
      </w:r>
      <w:r w:rsidR="00A8516B">
        <w:t>Future research needs to continue to explain the mobilization of claim-making organizations, regardless of their tactical choice, and further investigate the impacts of both religious and ideological factors and specific behavioral practices on the ability to pursue claims against states.</w:t>
      </w:r>
      <w:r w:rsidR="00CD0402">
        <w:br w:type="page"/>
      </w:r>
    </w:p>
    <w:p w14:paraId="75B648B4" w14:textId="6E87BEA8" w:rsidR="00DE1029" w:rsidRPr="00CD0402" w:rsidRDefault="00DE1029" w:rsidP="00CD0402">
      <w:pPr>
        <w:pStyle w:val="Heading1"/>
        <w:spacing w:line="480" w:lineRule="auto"/>
        <w:rPr>
          <w:rFonts w:eastAsiaTheme="minorHAnsi" w:cs="Calibri"/>
          <w:szCs w:val="22"/>
        </w:rPr>
      </w:pPr>
      <w:r w:rsidRPr="006F0D5B">
        <w:lastRenderedPageBreak/>
        <w:t>References</w:t>
      </w:r>
    </w:p>
    <w:p w14:paraId="6E8BF072" w14:textId="689D84B8" w:rsidR="000D7A76" w:rsidRDefault="000D7A76" w:rsidP="00CD0402">
      <w:pPr>
        <w:spacing w:line="480" w:lineRule="auto"/>
        <w:ind w:left="720" w:hanging="720"/>
      </w:pPr>
      <w:r>
        <w:t xml:space="preserve">Abbs, Luke, and Kristian </w:t>
      </w:r>
      <w:proofErr w:type="spellStart"/>
      <w:r>
        <w:t>Skrede</w:t>
      </w:r>
      <w:proofErr w:type="spellEnd"/>
      <w:r>
        <w:t xml:space="preserve"> </w:t>
      </w:r>
      <w:proofErr w:type="spellStart"/>
      <w:r>
        <w:t>Gleditsch</w:t>
      </w:r>
      <w:proofErr w:type="spellEnd"/>
      <w:r>
        <w:t xml:space="preserve">. 2021. “Ticked off, but Scared off?: Riots and the Fate of Nonviolent Campaigns.” </w:t>
      </w:r>
      <w:r>
        <w:rPr>
          <w:i/>
          <w:iCs/>
        </w:rPr>
        <w:t>Mobilization: An International Quarterly</w:t>
      </w:r>
      <w:r>
        <w:t xml:space="preserve"> 26 (1): 21-39. DOI: </w:t>
      </w:r>
      <w:r w:rsidRPr="004C4DB3">
        <w:t>10.17813/1086-671X-26-1-21</w:t>
      </w:r>
    </w:p>
    <w:p w14:paraId="3F329847" w14:textId="28075BE1" w:rsidR="006F1187" w:rsidRPr="00910C88" w:rsidRDefault="006F1187" w:rsidP="00F95FBB">
      <w:pPr>
        <w:spacing w:line="480" w:lineRule="auto"/>
        <w:ind w:left="720" w:hanging="720"/>
        <w:rPr>
          <w:rFonts w:asciiTheme="majorBidi" w:hAnsiTheme="majorBidi" w:cstheme="majorBidi"/>
          <w:szCs w:val="24"/>
        </w:rPr>
      </w:pPr>
      <w:r w:rsidRPr="006F1187">
        <w:rPr>
          <w:rFonts w:asciiTheme="majorBidi" w:hAnsiTheme="majorBidi" w:cstheme="majorBidi"/>
          <w:szCs w:val="24"/>
        </w:rPr>
        <w:t>Armstrong</w:t>
      </w:r>
      <w:r>
        <w:rPr>
          <w:rFonts w:asciiTheme="majorBidi" w:hAnsiTheme="majorBidi" w:cstheme="majorBidi"/>
          <w:szCs w:val="24"/>
        </w:rPr>
        <w:t>,</w:t>
      </w:r>
      <w:r w:rsidRPr="006F1187">
        <w:rPr>
          <w:rFonts w:asciiTheme="majorBidi" w:hAnsiTheme="majorBidi" w:cstheme="majorBidi"/>
          <w:szCs w:val="24"/>
        </w:rPr>
        <w:t xml:space="preserve"> D</w:t>
      </w:r>
      <w:r>
        <w:rPr>
          <w:rFonts w:asciiTheme="majorBidi" w:hAnsiTheme="majorBidi" w:cstheme="majorBidi"/>
          <w:szCs w:val="24"/>
        </w:rPr>
        <w:t>ave.</w:t>
      </w:r>
      <w:r w:rsidRPr="006F1187">
        <w:rPr>
          <w:rFonts w:asciiTheme="majorBidi" w:hAnsiTheme="majorBidi" w:cstheme="majorBidi"/>
          <w:szCs w:val="24"/>
        </w:rPr>
        <w:t xml:space="preserve"> 2022.</w:t>
      </w:r>
      <w:r>
        <w:rPr>
          <w:rFonts w:asciiTheme="majorBidi" w:hAnsiTheme="majorBidi" w:cstheme="majorBidi"/>
          <w:szCs w:val="24"/>
        </w:rPr>
        <w:t xml:space="preserve"> “</w:t>
      </w:r>
      <w:proofErr w:type="spellStart"/>
      <w:r w:rsidRPr="006F1187">
        <w:rPr>
          <w:rFonts w:asciiTheme="majorBidi" w:hAnsiTheme="majorBidi" w:cstheme="majorBidi"/>
          <w:szCs w:val="24"/>
        </w:rPr>
        <w:t>DAMisc</w:t>
      </w:r>
      <w:proofErr w:type="spellEnd"/>
      <w:r w:rsidRPr="006F1187">
        <w:rPr>
          <w:rFonts w:asciiTheme="majorBidi" w:hAnsiTheme="majorBidi" w:cstheme="majorBidi"/>
          <w:szCs w:val="24"/>
        </w:rPr>
        <w:t>: Dave Armstrong's Miscellaneous Functions</w:t>
      </w:r>
      <w:r>
        <w:rPr>
          <w:rFonts w:asciiTheme="majorBidi" w:hAnsiTheme="majorBidi" w:cstheme="majorBidi"/>
          <w:szCs w:val="24"/>
        </w:rPr>
        <w:t>.”</w:t>
      </w:r>
      <w:r w:rsidRPr="006F1187">
        <w:rPr>
          <w:rFonts w:asciiTheme="majorBidi" w:hAnsiTheme="majorBidi" w:cstheme="majorBidi"/>
          <w:szCs w:val="24"/>
        </w:rPr>
        <w:t xml:space="preserve"> </w:t>
      </w:r>
      <w:r w:rsidRPr="00910C88">
        <w:rPr>
          <w:rFonts w:asciiTheme="majorBidi" w:hAnsiTheme="majorBidi" w:cstheme="majorBidi"/>
          <w:szCs w:val="24"/>
        </w:rPr>
        <w:t>R Package. Version 1.7.2. https://CRAN.R-project.org/package=DAMisc</w:t>
      </w:r>
    </w:p>
    <w:p w14:paraId="1C78B1E7" w14:textId="1FC40CFA" w:rsidR="00DE1029" w:rsidRPr="006F0D5B" w:rsidRDefault="00DE1029" w:rsidP="00F95FBB">
      <w:pPr>
        <w:spacing w:line="480" w:lineRule="auto"/>
        <w:ind w:left="720" w:hanging="720"/>
        <w:rPr>
          <w:rFonts w:asciiTheme="majorBidi" w:hAnsiTheme="majorBidi" w:cstheme="majorBidi"/>
          <w:szCs w:val="24"/>
        </w:rPr>
      </w:pPr>
      <w:proofErr w:type="spellStart"/>
      <w:r w:rsidRPr="006F0D5B">
        <w:rPr>
          <w:rFonts w:asciiTheme="majorBidi" w:hAnsiTheme="majorBidi" w:cstheme="majorBidi"/>
          <w:szCs w:val="24"/>
        </w:rPr>
        <w:t>Asal</w:t>
      </w:r>
      <w:proofErr w:type="spellEnd"/>
      <w:r w:rsidRPr="006F0D5B">
        <w:rPr>
          <w:rFonts w:asciiTheme="majorBidi" w:hAnsiTheme="majorBidi" w:cstheme="majorBidi"/>
          <w:szCs w:val="24"/>
        </w:rPr>
        <w:t xml:space="preserve">, Victor, Richard Legault, Ora </w:t>
      </w:r>
      <w:proofErr w:type="spellStart"/>
      <w:r w:rsidRPr="006F0D5B">
        <w:rPr>
          <w:rFonts w:asciiTheme="majorBidi" w:hAnsiTheme="majorBidi" w:cstheme="majorBidi"/>
          <w:szCs w:val="24"/>
        </w:rPr>
        <w:t>Szekely</w:t>
      </w:r>
      <w:proofErr w:type="spellEnd"/>
      <w:r w:rsidRPr="006F0D5B">
        <w:rPr>
          <w:rFonts w:asciiTheme="majorBidi" w:hAnsiTheme="majorBidi" w:cstheme="majorBidi"/>
          <w:szCs w:val="24"/>
        </w:rPr>
        <w:t xml:space="preserve">, and Johnathan Wilkenfeld. 2013. “Gender Ideologies and Forms of Contentious Mobilization in the Middle East.” </w:t>
      </w:r>
      <w:r w:rsidRPr="006F0D5B">
        <w:rPr>
          <w:rFonts w:asciiTheme="majorBidi" w:hAnsiTheme="majorBidi" w:cstheme="majorBidi"/>
          <w:i/>
          <w:iCs/>
          <w:szCs w:val="24"/>
        </w:rPr>
        <w:t xml:space="preserve">Journal of Peace Research </w:t>
      </w:r>
      <w:r w:rsidRPr="006F0D5B">
        <w:rPr>
          <w:rFonts w:asciiTheme="majorBidi" w:hAnsiTheme="majorBidi" w:cstheme="majorBidi"/>
          <w:szCs w:val="24"/>
        </w:rPr>
        <w:t>50 (3): 305-318.</w:t>
      </w:r>
    </w:p>
    <w:p w14:paraId="2E1E5F94" w14:textId="595788D2" w:rsidR="002353D2" w:rsidRPr="002353D2" w:rsidRDefault="002353D2" w:rsidP="00F95FBB">
      <w:pPr>
        <w:spacing w:line="480" w:lineRule="auto"/>
        <w:ind w:left="720" w:hanging="720"/>
      </w:pPr>
      <w:bookmarkStart w:id="10" w:name="_Hlk512433292"/>
      <w:r>
        <w:t xml:space="preserve">Berman, Eli. 2000. “Sect, Subsidy, and Sacrifice: An Economist’s View of Ultra-Orthodox Jews.” </w:t>
      </w:r>
      <w:r>
        <w:rPr>
          <w:i/>
          <w:iCs/>
        </w:rPr>
        <w:t xml:space="preserve">The Quarterly Journal of Economics </w:t>
      </w:r>
      <w:r>
        <w:t xml:space="preserve">115 (3): 905-953. </w:t>
      </w:r>
    </w:p>
    <w:p w14:paraId="065BB2AF" w14:textId="0E28D029" w:rsidR="0023173C" w:rsidRDefault="0023173C" w:rsidP="00F95FBB">
      <w:pPr>
        <w:spacing w:line="480" w:lineRule="auto"/>
        <w:ind w:left="720" w:hanging="720"/>
        <w:rPr>
          <w:i/>
          <w:iCs/>
        </w:rPr>
      </w:pPr>
      <w:r w:rsidRPr="006F0D5B">
        <w:t xml:space="preserve">Berman, Eli. 2009. </w:t>
      </w:r>
      <w:r w:rsidRPr="006F0D5B">
        <w:rPr>
          <w:i/>
          <w:iCs/>
        </w:rPr>
        <w:t xml:space="preserve">Radical, Religious, and Violent: The New Economics of Terrorism. </w:t>
      </w:r>
      <w:r w:rsidRPr="006F0D5B">
        <w:t>Cambridge, MA: MIT Press.</w:t>
      </w:r>
      <w:r w:rsidR="00A74933" w:rsidRPr="006F0D5B">
        <w:t xml:space="preserve"> Berman, Eli, and David D. </w:t>
      </w:r>
      <w:proofErr w:type="spellStart"/>
      <w:r w:rsidR="00A74933" w:rsidRPr="006F0D5B">
        <w:t>Laitin</w:t>
      </w:r>
      <w:proofErr w:type="spellEnd"/>
      <w:r w:rsidR="00A74933" w:rsidRPr="006F0D5B">
        <w:t xml:space="preserve">. 2008. “Religion, Terrorism, and Public Goods.” </w:t>
      </w:r>
      <w:r w:rsidR="00A74933" w:rsidRPr="006F0D5B">
        <w:rPr>
          <w:i/>
          <w:iCs/>
        </w:rPr>
        <w:t>Journal of Public Economics</w:t>
      </w:r>
      <w:r w:rsidR="00A74933" w:rsidRPr="006F0D5B">
        <w:t xml:space="preserve"> 92: 1942-1967</w:t>
      </w:r>
      <w:r w:rsidR="00A74933" w:rsidRPr="006F0D5B">
        <w:rPr>
          <w:i/>
          <w:iCs/>
        </w:rPr>
        <w:t>.</w:t>
      </w:r>
    </w:p>
    <w:p w14:paraId="4EC66FA3" w14:textId="23DB533E" w:rsidR="002353D2" w:rsidRDefault="002353D2" w:rsidP="00F95FBB">
      <w:pPr>
        <w:spacing w:line="480" w:lineRule="auto"/>
        <w:ind w:left="720" w:hanging="720"/>
      </w:pPr>
      <w:r>
        <w:t xml:space="preserve">Berman, Eli, and David D. </w:t>
      </w:r>
      <w:proofErr w:type="spellStart"/>
      <w:r>
        <w:t>Laitin</w:t>
      </w:r>
      <w:proofErr w:type="spellEnd"/>
      <w:r>
        <w:t xml:space="preserve">. 2008. “Religion, Terrorism, and Public Goods: Testing the Club Model.” </w:t>
      </w:r>
      <w:r>
        <w:rPr>
          <w:i/>
          <w:iCs/>
        </w:rPr>
        <w:t xml:space="preserve">Journal of Public Economics </w:t>
      </w:r>
      <w:r>
        <w:t>92: 1942-1967.</w:t>
      </w:r>
      <w:r w:rsidR="00355AD2">
        <w:t xml:space="preserve"> DOI: </w:t>
      </w:r>
      <w:r w:rsidR="00355AD2" w:rsidRPr="00355AD2">
        <w:t>10.1016/j.jpubeco.2008.03.007</w:t>
      </w:r>
    </w:p>
    <w:p w14:paraId="433C6247" w14:textId="498D09E6" w:rsidR="005A07BE" w:rsidRPr="00DA1CB5" w:rsidRDefault="007E0F88" w:rsidP="004C5F6F">
      <w:pPr>
        <w:spacing w:line="480" w:lineRule="auto"/>
        <w:ind w:left="720" w:hanging="720"/>
      </w:pPr>
      <w:proofErr w:type="spellStart"/>
      <w:r>
        <w:t>Buhaug</w:t>
      </w:r>
      <w:proofErr w:type="spellEnd"/>
      <w:r>
        <w:t xml:space="preserve">, </w:t>
      </w:r>
      <w:proofErr w:type="spellStart"/>
      <w:r>
        <w:t>Halvard</w:t>
      </w:r>
      <w:proofErr w:type="spellEnd"/>
      <w:r>
        <w:t xml:space="preserve">, </w:t>
      </w:r>
      <w:r w:rsidRPr="005A07BE">
        <w:t xml:space="preserve">Scott Gates, and </w:t>
      </w:r>
      <w:proofErr w:type="spellStart"/>
      <w:r w:rsidRPr="005A07BE">
        <w:t>Päivi</w:t>
      </w:r>
      <w:proofErr w:type="spellEnd"/>
      <w:r w:rsidRPr="005A07BE">
        <w:t xml:space="preserve"> </w:t>
      </w:r>
      <w:proofErr w:type="spellStart"/>
      <w:r w:rsidRPr="005A07BE">
        <w:t>Lujala</w:t>
      </w:r>
      <w:proofErr w:type="spellEnd"/>
      <w:r w:rsidRPr="005A07BE">
        <w:t xml:space="preserve">. 2009. “Geography, Rebel Capability, and the Duration of Civil Conflict.” </w:t>
      </w:r>
      <w:r w:rsidRPr="005A07BE">
        <w:rPr>
          <w:i/>
          <w:iCs/>
        </w:rPr>
        <w:t>Journal of Conflict Resolution</w:t>
      </w:r>
      <w:r w:rsidRPr="005A07BE">
        <w:t xml:space="preserve"> 53 (4): 544-569. DOI: 10.1177/0022002709336457</w:t>
      </w:r>
    </w:p>
    <w:p w14:paraId="042D9922" w14:textId="4E6701C7" w:rsidR="004C5F6F" w:rsidRDefault="00DE1029" w:rsidP="004C5F6F">
      <w:pPr>
        <w:spacing w:line="480" w:lineRule="auto"/>
        <w:ind w:left="720" w:hanging="720"/>
      </w:pPr>
      <w:proofErr w:type="spellStart"/>
      <w:r w:rsidRPr="006F0D5B">
        <w:t>Breslawski</w:t>
      </w:r>
      <w:proofErr w:type="spellEnd"/>
      <w:r w:rsidRPr="006F0D5B">
        <w:t xml:space="preserve">, Jori, and Brandon Ives. 2018. “Killing for God?: Factional Violence on the Transnational Stage.” </w:t>
      </w:r>
      <w:r w:rsidRPr="006F0D5B">
        <w:rPr>
          <w:i/>
          <w:iCs/>
        </w:rPr>
        <w:t>Journal of Conflict Resolution</w:t>
      </w:r>
      <w:r w:rsidRPr="006F0D5B">
        <w:t xml:space="preserve"> DOI: 10.1177/0022002718763632</w:t>
      </w:r>
    </w:p>
    <w:p w14:paraId="6A9B28B1" w14:textId="631BD87A" w:rsidR="00FA3D72" w:rsidRDefault="00FA3D72" w:rsidP="004C5F6F">
      <w:pPr>
        <w:spacing w:line="480" w:lineRule="auto"/>
        <w:ind w:left="720" w:hanging="720"/>
      </w:pPr>
      <w:r>
        <w:lastRenderedPageBreak/>
        <w:t>BSS (</w:t>
      </w:r>
      <w:r w:rsidRPr="00FA3D72">
        <w:t>Bodo Sahitya Sabha</w:t>
      </w:r>
      <w:r>
        <w:t>)</w:t>
      </w:r>
      <w:r w:rsidRPr="00FA3D72">
        <w:t>. 2004, September. “The Constitution of the Bodo Sahitya Sabha.” Retrieved February 2, 2021, from http://bodosahityasabha.org/constitution.html</w:t>
      </w:r>
    </w:p>
    <w:p w14:paraId="4685213E" w14:textId="77777777" w:rsidR="00C62371" w:rsidRDefault="00C62371" w:rsidP="004C5F6F">
      <w:pPr>
        <w:spacing w:line="480" w:lineRule="auto"/>
        <w:ind w:left="720" w:hanging="720"/>
        <w:rPr>
          <w:i/>
          <w:iCs/>
        </w:rPr>
      </w:pPr>
      <w:proofErr w:type="spellStart"/>
      <w:r>
        <w:t>Calfano</w:t>
      </w:r>
      <w:proofErr w:type="spellEnd"/>
      <w:r>
        <w:t xml:space="preserve">, Brian Robert, and Paul A. </w:t>
      </w:r>
      <w:proofErr w:type="spellStart"/>
      <w:r>
        <w:t>Djupe</w:t>
      </w:r>
      <w:proofErr w:type="spellEnd"/>
      <w:r>
        <w:t xml:space="preserve">. 2009. “God Talk: Religious Cues and Electoral Support.” </w:t>
      </w:r>
      <w:r>
        <w:rPr>
          <w:i/>
          <w:iCs/>
        </w:rPr>
        <w:t xml:space="preserve">Political Research Quarterly </w:t>
      </w:r>
      <w:r>
        <w:t xml:space="preserve">62 (2): 329-339. DOI: </w:t>
      </w:r>
      <w:r w:rsidRPr="00C62371">
        <w:t>10.1177/1065912908319605</w:t>
      </w:r>
    </w:p>
    <w:p w14:paraId="07EA4189" w14:textId="4FC4A89B" w:rsidR="00DE1029" w:rsidRPr="006F0D5B" w:rsidRDefault="004C5F6F" w:rsidP="004C5F6F">
      <w:pPr>
        <w:spacing w:line="480" w:lineRule="auto"/>
        <w:ind w:left="720" w:hanging="720"/>
      </w:pPr>
      <w:r w:rsidRPr="005A07BE">
        <w:t>Chenoweth</w:t>
      </w:r>
      <w:r>
        <w:t>, Erica,</w:t>
      </w:r>
      <w:r w:rsidRPr="005A07BE">
        <w:t xml:space="preserve"> and </w:t>
      </w:r>
      <w:r>
        <w:t xml:space="preserve">Orion A. </w:t>
      </w:r>
      <w:r w:rsidRPr="005A07BE">
        <w:t>Lewis</w:t>
      </w:r>
      <w:r>
        <w:t>.</w:t>
      </w:r>
      <w:r w:rsidRPr="005A07BE">
        <w:t xml:space="preserve"> 2013</w:t>
      </w:r>
      <w:r>
        <w:t xml:space="preserve">. “Unpacking Nonviolent Campaigns: Introducing the NAVCO 2.0 Dataset.” </w:t>
      </w:r>
      <w:r>
        <w:rPr>
          <w:i/>
          <w:iCs/>
        </w:rPr>
        <w:t xml:space="preserve">Journal of Peace Research </w:t>
      </w:r>
      <w:r>
        <w:t xml:space="preserve">50 (3): 415-423. DOI: </w:t>
      </w:r>
      <w:r w:rsidRPr="004C5F6F">
        <w:t>10.1177/0022343312471551</w:t>
      </w:r>
    </w:p>
    <w:bookmarkEnd w:id="10"/>
    <w:p w14:paraId="6F22ADE9" w14:textId="77777777" w:rsidR="00DE1029" w:rsidRPr="006F0D5B" w:rsidRDefault="00DE1029" w:rsidP="00F95FBB">
      <w:pPr>
        <w:spacing w:line="480" w:lineRule="auto"/>
        <w:ind w:left="720" w:hanging="720"/>
        <w:rPr>
          <w:szCs w:val="24"/>
        </w:rPr>
      </w:pPr>
      <w:proofErr w:type="spellStart"/>
      <w:r w:rsidRPr="006F0D5B">
        <w:rPr>
          <w:szCs w:val="24"/>
        </w:rPr>
        <w:t>Costalli</w:t>
      </w:r>
      <w:proofErr w:type="spellEnd"/>
      <w:r w:rsidRPr="006F0D5B">
        <w:rPr>
          <w:szCs w:val="24"/>
        </w:rPr>
        <w:t xml:space="preserve">, Stefano, and Andrea Ruggeri. 2015. “Indignation, Ideologies, and Armed Mobilization: Civil War in Italy, 1943-45.” </w:t>
      </w:r>
      <w:r w:rsidRPr="006F0D5B">
        <w:rPr>
          <w:i/>
          <w:iCs/>
          <w:szCs w:val="24"/>
        </w:rPr>
        <w:t xml:space="preserve">International Security </w:t>
      </w:r>
      <w:r w:rsidRPr="006F0D5B">
        <w:rPr>
          <w:szCs w:val="24"/>
        </w:rPr>
        <w:t>40 (2): 119-157.</w:t>
      </w:r>
    </w:p>
    <w:p w14:paraId="1D44B867" w14:textId="77777777" w:rsidR="00F95FBB" w:rsidRDefault="00F95FBB" w:rsidP="00FB2DCB">
      <w:pPr>
        <w:spacing w:line="480" w:lineRule="auto"/>
        <w:ind w:left="720" w:hanging="720"/>
      </w:pPr>
      <w:r>
        <w:t xml:space="preserve">Cunningham, David 5. 2015. </w:t>
      </w:r>
      <w:r>
        <w:rPr>
          <w:i/>
          <w:iCs/>
        </w:rPr>
        <w:t>Barriers to Peace in Civil War</w:t>
      </w:r>
      <w:r>
        <w:t>. Cambridge: Cambridge University Press.</w:t>
      </w:r>
    </w:p>
    <w:p w14:paraId="6BB785C0" w14:textId="212A1EAF" w:rsidR="000D7A76" w:rsidRDefault="000D7A76" w:rsidP="00F95FBB">
      <w:pPr>
        <w:spacing w:line="480" w:lineRule="auto"/>
        <w:ind w:left="720" w:hanging="720"/>
      </w:pPr>
      <w:r>
        <w:t xml:space="preserve">Cunningham, David E., Kristian </w:t>
      </w:r>
      <w:proofErr w:type="spellStart"/>
      <w:r>
        <w:t>Skrede</w:t>
      </w:r>
      <w:proofErr w:type="spellEnd"/>
      <w:r>
        <w:t xml:space="preserve"> </w:t>
      </w:r>
      <w:proofErr w:type="spellStart"/>
      <w:r>
        <w:t>Gleditsch</w:t>
      </w:r>
      <w:proofErr w:type="spellEnd"/>
      <w:r>
        <w:t xml:space="preserve">, and </w:t>
      </w:r>
      <w:proofErr w:type="spellStart"/>
      <w:r>
        <w:t>Idean</w:t>
      </w:r>
      <w:proofErr w:type="spellEnd"/>
      <w:r>
        <w:t xml:space="preserve"> </w:t>
      </w:r>
      <w:proofErr w:type="spellStart"/>
      <w:r>
        <w:t>Salehyan</w:t>
      </w:r>
      <w:proofErr w:type="spellEnd"/>
      <w:r>
        <w:t>. 2009. “</w:t>
      </w:r>
      <w:r w:rsidRPr="00590E2A">
        <w:t>It Takes Two: A Dyadic Analysis of Civil War Duration and Outcome</w:t>
      </w:r>
      <w:r>
        <w:t xml:space="preserve">.” </w:t>
      </w:r>
      <w:r>
        <w:rPr>
          <w:i/>
          <w:iCs/>
        </w:rPr>
        <w:t>Journal of Conflict Resolution</w:t>
      </w:r>
      <w:r>
        <w:t xml:space="preserve"> 53 (4): 570-597. DOI: </w:t>
      </w:r>
      <w:r w:rsidRPr="00590E2A">
        <w:t>10.1177/0022002709336458</w:t>
      </w:r>
    </w:p>
    <w:p w14:paraId="67E7DEBD" w14:textId="0E2752A0" w:rsidR="00D073AC" w:rsidRPr="00D073AC" w:rsidRDefault="00D073AC" w:rsidP="00F95FBB">
      <w:pPr>
        <w:spacing w:line="480" w:lineRule="auto"/>
        <w:ind w:left="720" w:hanging="720"/>
      </w:pPr>
      <w:r>
        <w:t xml:space="preserve">Cunningham, Kathleen Gallagher. 2021. “Shirts Today, Skins Tomorrow: Dual Contests and the Effects of Fragmentation in Self-Determination Disputes.” </w:t>
      </w:r>
      <w:r>
        <w:rPr>
          <w:i/>
          <w:iCs/>
        </w:rPr>
        <w:t>Journal of Conflict Resolution</w:t>
      </w:r>
      <w:r>
        <w:t xml:space="preserve"> 56(1): 67-93. DOI: </w:t>
      </w:r>
      <w:r w:rsidRPr="00D073AC">
        <w:t>10.1177/0022002711429697</w:t>
      </w:r>
    </w:p>
    <w:p w14:paraId="5E1C64F6" w14:textId="77777777" w:rsidR="00DE1029" w:rsidRPr="006F0D5B" w:rsidRDefault="00DE1029" w:rsidP="00F95FBB">
      <w:pPr>
        <w:spacing w:line="480" w:lineRule="auto"/>
        <w:ind w:left="720" w:hanging="720"/>
        <w:rPr>
          <w:rFonts w:asciiTheme="majorBidi" w:hAnsiTheme="majorBidi" w:cstheme="majorBidi"/>
          <w:szCs w:val="24"/>
        </w:rPr>
      </w:pPr>
      <w:r w:rsidRPr="006F0D5B">
        <w:rPr>
          <w:rFonts w:asciiTheme="majorBidi" w:hAnsiTheme="majorBidi" w:cstheme="majorBidi"/>
          <w:szCs w:val="24"/>
        </w:rPr>
        <w:t xml:space="preserve">Cunningham, Kathleen Gallagher. 2013. “Understanding Strategic Choice: The Determinants of Civil War and Nonviolent Campaign in Self-Determination Disputes.” </w:t>
      </w:r>
      <w:r w:rsidRPr="006F0D5B">
        <w:rPr>
          <w:rFonts w:asciiTheme="majorBidi" w:hAnsiTheme="majorBidi" w:cstheme="majorBidi"/>
          <w:i/>
          <w:iCs/>
          <w:szCs w:val="24"/>
        </w:rPr>
        <w:t xml:space="preserve">Journal of Peace Research </w:t>
      </w:r>
      <w:r w:rsidRPr="006F0D5B">
        <w:rPr>
          <w:rFonts w:asciiTheme="majorBidi" w:hAnsiTheme="majorBidi" w:cstheme="majorBidi"/>
          <w:szCs w:val="24"/>
        </w:rPr>
        <w:t>50 (3): 291-304.</w:t>
      </w:r>
    </w:p>
    <w:p w14:paraId="025A0A16" w14:textId="7BC01981" w:rsidR="00DE1029" w:rsidRDefault="00DE1029" w:rsidP="00F95FBB">
      <w:pPr>
        <w:spacing w:line="480" w:lineRule="auto"/>
        <w:ind w:left="720" w:hanging="720"/>
        <w:rPr>
          <w:rFonts w:asciiTheme="majorBidi" w:hAnsiTheme="majorBidi" w:cstheme="majorBidi"/>
          <w:szCs w:val="24"/>
        </w:rPr>
      </w:pPr>
      <w:r w:rsidRPr="006F0D5B">
        <w:rPr>
          <w:rFonts w:asciiTheme="majorBidi" w:hAnsiTheme="majorBidi" w:cstheme="majorBidi"/>
          <w:szCs w:val="24"/>
        </w:rPr>
        <w:t xml:space="preserve">Cunningham, Kathleen Gallagher. 2014. </w:t>
      </w:r>
      <w:r w:rsidRPr="006F0D5B">
        <w:rPr>
          <w:rFonts w:asciiTheme="majorBidi" w:hAnsiTheme="majorBidi" w:cstheme="majorBidi"/>
          <w:i/>
          <w:iCs/>
          <w:szCs w:val="24"/>
        </w:rPr>
        <w:t>Inside the Politics of Self-Determination</w:t>
      </w:r>
      <w:r w:rsidRPr="006F0D5B">
        <w:rPr>
          <w:rFonts w:asciiTheme="majorBidi" w:hAnsiTheme="majorBidi" w:cstheme="majorBidi"/>
          <w:szCs w:val="24"/>
        </w:rPr>
        <w:t>. Oxford: Oxford University Press.</w:t>
      </w:r>
    </w:p>
    <w:p w14:paraId="197E7453" w14:textId="0B0F4006" w:rsidR="006D1C21" w:rsidRPr="006F0D5B" w:rsidRDefault="006D1C21" w:rsidP="00F95FBB">
      <w:pPr>
        <w:spacing w:line="480" w:lineRule="auto"/>
        <w:ind w:left="720" w:hanging="720"/>
        <w:rPr>
          <w:rFonts w:asciiTheme="majorBidi" w:hAnsiTheme="majorBidi" w:cstheme="majorBidi"/>
          <w:szCs w:val="24"/>
        </w:rPr>
      </w:pPr>
      <w:r w:rsidRPr="006F0D5B">
        <w:rPr>
          <w:rFonts w:asciiTheme="majorBidi" w:hAnsiTheme="majorBidi" w:cstheme="majorBidi"/>
          <w:szCs w:val="24"/>
        </w:rPr>
        <w:lastRenderedPageBreak/>
        <w:t xml:space="preserve">Cunningham, Kathleen Gallagher, Marianne Dahl, and Anne Frugé. 2017 “Strategies of Resistance: Diversification and Diffusion.” </w:t>
      </w:r>
      <w:r w:rsidRPr="006F0D5B">
        <w:rPr>
          <w:rFonts w:asciiTheme="majorBidi" w:hAnsiTheme="majorBidi" w:cstheme="majorBidi"/>
          <w:i/>
          <w:iCs/>
          <w:szCs w:val="24"/>
        </w:rPr>
        <w:t>American Journal of Political Science</w:t>
      </w:r>
      <w:r w:rsidRPr="006F0D5B">
        <w:rPr>
          <w:rFonts w:asciiTheme="majorBidi" w:hAnsiTheme="majorBidi" w:cstheme="majorBidi"/>
          <w:szCs w:val="24"/>
        </w:rPr>
        <w:t xml:space="preserve"> 61 (3): 591-605.</w:t>
      </w:r>
    </w:p>
    <w:p w14:paraId="38A79CB7" w14:textId="04973554" w:rsidR="000D7A76" w:rsidRDefault="000D7A76" w:rsidP="00F95FBB">
      <w:pPr>
        <w:spacing w:line="480" w:lineRule="auto"/>
        <w:ind w:left="720" w:hanging="720"/>
      </w:pPr>
      <w:r>
        <w:rPr>
          <w:rStyle w:val="personname"/>
        </w:rPr>
        <w:t>Dahl, Marianne</w:t>
      </w:r>
      <w:r>
        <w:t xml:space="preserve">, Scott </w:t>
      </w:r>
      <w:r>
        <w:rPr>
          <w:rStyle w:val="personname"/>
        </w:rPr>
        <w:t>Gates, Kristian</w:t>
      </w:r>
      <w:r>
        <w:t xml:space="preserve"> </w:t>
      </w:r>
      <w:proofErr w:type="spellStart"/>
      <w:r>
        <w:t>Skrede</w:t>
      </w:r>
      <w:proofErr w:type="spellEnd"/>
      <w:r>
        <w:t xml:space="preserve"> </w:t>
      </w:r>
      <w:proofErr w:type="spellStart"/>
      <w:r>
        <w:rPr>
          <w:rStyle w:val="personname"/>
        </w:rPr>
        <w:t>Gleditsch</w:t>
      </w:r>
      <w:proofErr w:type="spellEnd"/>
      <w:r>
        <w:t xml:space="preserve">, and </w:t>
      </w:r>
      <w:proofErr w:type="spellStart"/>
      <w:r>
        <w:rPr>
          <w:rStyle w:val="personname"/>
        </w:rPr>
        <w:t>Belén</w:t>
      </w:r>
      <w:proofErr w:type="spellEnd"/>
      <w:r>
        <w:t xml:space="preserve"> </w:t>
      </w:r>
      <w:r>
        <w:rPr>
          <w:rStyle w:val="personname"/>
        </w:rPr>
        <w:t xml:space="preserve">González. </w:t>
      </w:r>
      <w:r>
        <w:t xml:space="preserve">2020. “Accounting for Numbers: Group Characteristics and the Choice of Violent and Nonviolent Tactics.” </w:t>
      </w:r>
      <w:r w:rsidRPr="000D7A76">
        <w:rPr>
          <w:i/>
          <w:iCs/>
        </w:rPr>
        <w:t>Economics of Peace and Security Journal</w:t>
      </w:r>
      <w:r>
        <w:t xml:space="preserve">. Retrieved June 6, 2022, from </w:t>
      </w:r>
      <w:r w:rsidRPr="000D7A76">
        <w:t>http://repository.essex.ac.uk/29204/</w:t>
      </w:r>
    </w:p>
    <w:p w14:paraId="6102B94B" w14:textId="532474F4" w:rsidR="00456B8E" w:rsidRDefault="00456B8E" w:rsidP="00F95FBB">
      <w:pPr>
        <w:spacing w:line="480" w:lineRule="auto"/>
        <w:ind w:left="720" w:hanging="720"/>
      </w:pPr>
      <w:r w:rsidRPr="006F0D5B">
        <w:t xml:space="preserve">Gates, Scott, and Ragnhild </w:t>
      </w:r>
      <w:proofErr w:type="spellStart"/>
      <w:r w:rsidRPr="006F0D5B">
        <w:t>Nordås</w:t>
      </w:r>
      <w:proofErr w:type="spellEnd"/>
      <w:r w:rsidRPr="006F0D5B">
        <w:t>. 2010. “Recruitment and Retention in Rebel Groups.” Working Paper. Center for the Study of Civil War, Peace Research Institute Oslo (PRIO).</w:t>
      </w:r>
    </w:p>
    <w:p w14:paraId="11809175" w14:textId="77777777" w:rsidR="00DA1CB5" w:rsidRDefault="00EF3291" w:rsidP="00DA1CB5">
      <w:pPr>
        <w:spacing w:line="480" w:lineRule="auto"/>
        <w:ind w:left="720" w:hanging="720"/>
      </w:pPr>
      <w:proofErr w:type="spellStart"/>
      <w:r>
        <w:t>Graffelman</w:t>
      </w:r>
      <w:proofErr w:type="spellEnd"/>
      <w:r>
        <w:t xml:space="preserve">, Jan, and Fred Van </w:t>
      </w:r>
      <w:proofErr w:type="spellStart"/>
      <w:r>
        <w:t>Eeuwijk</w:t>
      </w:r>
      <w:proofErr w:type="spellEnd"/>
      <w:r>
        <w:t xml:space="preserve">. 2005. “Calibration of Multivariate Scatter Plots for Exploratory Analysis of Relations within and between Sets of Variables in Genomic Research.” </w:t>
      </w:r>
      <w:r w:rsidRPr="00EF3291">
        <w:rPr>
          <w:i/>
          <w:iCs/>
        </w:rPr>
        <w:t>Biometrical Journal</w:t>
      </w:r>
      <w:r>
        <w:t xml:space="preserve"> 47 (6): 863-879. DOI: 10.1002/bimj.200510177</w:t>
      </w:r>
    </w:p>
    <w:p w14:paraId="2921765E" w14:textId="77777777" w:rsidR="00DA1CB5" w:rsidRDefault="00DE1029" w:rsidP="00DA1CB5">
      <w:pPr>
        <w:spacing w:line="480" w:lineRule="auto"/>
        <w:ind w:left="720" w:hanging="720"/>
      </w:pPr>
      <w:r w:rsidRPr="006F0D5B">
        <w:rPr>
          <w:szCs w:val="24"/>
        </w:rPr>
        <w:t>Gutiérrez-</w:t>
      </w:r>
      <w:proofErr w:type="spellStart"/>
      <w:r w:rsidRPr="006F0D5B">
        <w:rPr>
          <w:szCs w:val="24"/>
        </w:rPr>
        <w:t>Sanín</w:t>
      </w:r>
      <w:proofErr w:type="spellEnd"/>
      <w:r w:rsidRPr="006F0D5B">
        <w:rPr>
          <w:szCs w:val="24"/>
        </w:rPr>
        <w:t xml:space="preserve">, Francisco, and Elisabeth Jean Wood. 2014. “Ideology in Civil War: Instrumental Adoption and Beyond.” </w:t>
      </w:r>
      <w:r w:rsidRPr="006F0D5B">
        <w:rPr>
          <w:i/>
          <w:iCs/>
          <w:szCs w:val="24"/>
        </w:rPr>
        <w:t xml:space="preserve">Journal of Peace Research </w:t>
      </w:r>
      <w:r w:rsidRPr="006F0D5B">
        <w:rPr>
          <w:szCs w:val="24"/>
        </w:rPr>
        <w:t>51 (2): 213-226.</w:t>
      </w:r>
    </w:p>
    <w:p w14:paraId="3E6C51E9" w14:textId="62FE628D" w:rsidR="00DE1029" w:rsidRDefault="00DA1CB5" w:rsidP="00DA1CB5">
      <w:pPr>
        <w:spacing w:line="480" w:lineRule="auto"/>
        <w:ind w:left="720" w:hanging="720"/>
      </w:pPr>
      <w:r w:rsidRPr="005A07BE">
        <w:t>Fearon, James D. 1994. “Rationalist Explanations for War.</w:t>
      </w:r>
      <w:r>
        <w:t xml:space="preserve">” </w:t>
      </w:r>
      <w:r>
        <w:rPr>
          <w:i/>
          <w:iCs/>
        </w:rPr>
        <w:t xml:space="preserve">International Organization </w:t>
      </w:r>
      <w:r>
        <w:t>49 (3): 379-414.</w:t>
      </w:r>
    </w:p>
    <w:p w14:paraId="5417A64B" w14:textId="5F1883D3" w:rsidR="00841F68" w:rsidRPr="00DA1CB5" w:rsidRDefault="00841F68" w:rsidP="00DA1CB5">
      <w:pPr>
        <w:spacing w:line="480" w:lineRule="auto"/>
        <w:ind w:left="720" w:hanging="720"/>
      </w:pPr>
      <w:proofErr w:type="spellStart"/>
      <w:r>
        <w:t>Feenstra</w:t>
      </w:r>
      <w:proofErr w:type="spellEnd"/>
      <w:r>
        <w:t xml:space="preserve">, Robert C., Robert </w:t>
      </w:r>
      <w:proofErr w:type="spellStart"/>
      <w:r>
        <w:t>Inklaar</w:t>
      </w:r>
      <w:proofErr w:type="spellEnd"/>
      <w:r>
        <w:t xml:space="preserve">, and Marcel P. Timmer. 2015. “The Next Generation of the Penn World Table.” </w:t>
      </w:r>
      <w:r w:rsidRPr="00256048">
        <w:rPr>
          <w:i/>
          <w:iCs/>
        </w:rPr>
        <w:t>American Economic Review</w:t>
      </w:r>
      <w:r>
        <w:t xml:space="preserve"> 105 (10): 3150-3182.</w:t>
      </w:r>
    </w:p>
    <w:p w14:paraId="0EF416DF" w14:textId="6C21D652" w:rsidR="001F1E9A" w:rsidRDefault="001F1E9A" w:rsidP="00F95FBB">
      <w:pPr>
        <w:spacing w:line="480" w:lineRule="auto"/>
        <w:ind w:left="720" w:hanging="720"/>
        <w:rPr>
          <w:szCs w:val="24"/>
        </w:rPr>
      </w:pPr>
      <w:proofErr w:type="spellStart"/>
      <w:r>
        <w:rPr>
          <w:szCs w:val="24"/>
        </w:rPr>
        <w:t>Heger</w:t>
      </w:r>
      <w:proofErr w:type="spellEnd"/>
      <w:r>
        <w:rPr>
          <w:szCs w:val="24"/>
        </w:rPr>
        <w:t xml:space="preserve">, Lindsay L., and Danielle F. Jung. 2017. “Negotiating with Rebels: The Effect of Rebel Service Provision on Conflict Negotiations.” </w:t>
      </w:r>
      <w:r>
        <w:rPr>
          <w:i/>
          <w:iCs/>
          <w:szCs w:val="24"/>
        </w:rPr>
        <w:t>Journal of Conflict Resolution</w:t>
      </w:r>
      <w:r>
        <w:rPr>
          <w:szCs w:val="24"/>
        </w:rPr>
        <w:t xml:space="preserve"> 61 (6): 1203-1229.</w:t>
      </w:r>
    </w:p>
    <w:p w14:paraId="0129A666" w14:textId="3DC89149" w:rsidR="00F1616E" w:rsidRDefault="004971E1" w:rsidP="00F1616E">
      <w:pPr>
        <w:spacing w:line="480" w:lineRule="auto"/>
        <w:ind w:left="720" w:hanging="720"/>
        <w:rPr>
          <w:szCs w:val="24"/>
        </w:rPr>
      </w:pPr>
      <w:proofErr w:type="spellStart"/>
      <w:r>
        <w:rPr>
          <w:szCs w:val="24"/>
        </w:rPr>
        <w:t>Hlavac</w:t>
      </w:r>
      <w:proofErr w:type="spellEnd"/>
      <w:r>
        <w:rPr>
          <w:szCs w:val="24"/>
        </w:rPr>
        <w:t>, Marek. 2022. “</w:t>
      </w:r>
      <w:r w:rsidRPr="004971E1">
        <w:rPr>
          <w:szCs w:val="24"/>
        </w:rPr>
        <w:t>stargazer: Well-Formatted Regression and Summary Statistics Tables.</w:t>
      </w:r>
      <w:r>
        <w:rPr>
          <w:szCs w:val="24"/>
        </w:rPr>
        <w:t>”</w:t>
      </w:r>
      <w:r w:rsidRPr="004971E1">
        <w:rPr>
          <w:szCs w:val="24"/>
        </w:rPr>
        <w:t xml:space="preserve"> </w:t>
      </w:r>
      <w:r w:rsidRPr="00910C88">
        <w:rPr>
          <w:szCs w:val="24"/>
        </w:rPr>
        <w:t xml:space="preserve">R Package. Version 5.2.3. </w:t>
      </w:r>
      <w:hyperlink r:id="rId16" w:history="1">
        <w:r w:rsidR="00F1616E" w:rsidRPr="00E01CC4">
          <w:rPr>
            <w:rStyle w:val="Hyperlink"/>
            <w:szCs w:val="24"/>
          </w:rPr>
          <w:t>https://CRAN.R-project.org/package=stargazer</w:t>
        </w:r>
      </w:hyperlink>
    </w:p>
    <w:p w14:paraId="6FFB636B" w14:textId="77777777" w:rsidR="00F1616E" w:rsidRDefault="007E749C" w:rsidP="00F1616E">
      <w:pPr>
        <w:spacing w:line="480" w:lineRule="auto"/>
        <w:ind w:left="720" w:hanging="720"/>
      </w:pPr>
      <w:proofErr w:type="spellStart"/>
      <w:r w:rsidRPr="006F0D5B">
        <w:rPr>
          <w:lang w:bidi="ar-JO"/>
        </w:rPr>
        <w:lastRenderedPageBreak/>
        <w:t>Iannaccone</w:t>
      </w:r>
      <w:proofErr w:type="spellEnd"/>
      <w:r w:rsidRPr="006F0D5B">
        <w:rPr>
          <w:lang w:bidi="ar-JO"/>
        </w:rPr>
        <w:t xml:space="preserve">, Laurence R., and Eli Berman. 2006 July. “Religious Extremism: The Good, the Bad, and the Deadly.” </w:t>
      </w:r>
      <w:r w:rsidRPr="006F0D5B">
        <w:rPr>
          <w:i/>
          <w:iCs/>
          <w:lang w:bidi="ar-JO"/>
        </w:rPr>
        <w:t>Public Choice</w:t>
      </w:r>
      <w:r w:rsidRPr="006F0D5B">
        <w:rPr>
          <w:i/>
          <w:iCs/>
        </w:rPr>
        <w:t xml:space="preserve"> </w:t>
      </w:r>
      <w:r w:rsidRPr="006F0D5B">
        <w:t>128 (1/2): 109-129.</w:t>
      </w:r>
    </w:p>
    <w:p w14:paraId="4E2660EF" w14:textId="074B9D9B" w:rsidR="00D47C21" w:rsidRPr="00D47C21" w:rsidRDefault="00D47C21" w:rsidP="005A07BE">
      <w:pPr>
        <w:spacing w:line="480" w:lineRule="auto"/>
        <w:ind w:left="720" w:hanging="720"/>
        <w:rPr>
          <w:szCs w:val="24"/>
        </w:rPr>
      </w:pPr>
      <w:proofErr w:type="spellStart"/>
      <w:r>
        <w:t>Jenne</w:t>
      </w:r>
      <w:proofErr w:type="spellEnd"/>
      <w:r>
        <w:t xml:space="preserve">, Erin. 2004. “A Bargaining Theory of Minority Demands: Explaining the Dog that Did Not Bite in 1990s Yugoslavia.” </w:t>
      </w:r>
      <w:r>
        <w:rPr>
          <w:i/>
          <w:iCs/>
        </w:rPr>
        <w:t xml:space="preserve">International Studies Quarterly </w:t>
      </w:r>
      <w:r>
        <w:t>48: 729-754.</w:t>
      </w:r>
    </w:p>
    <w:p w14:paraId="7597D5AD" w14:textId="037C1DCF" w:rsidR="00D84856" w:rsidRPr="00D84856" w:rsidRDefault="00D84856" w:rsidP="005A07BE">
      <w:pPr>
        <w:spacing w:line="480" w:lineRule="auto"/>
        <w:ind w:left="720" w:hanging="720"/>
      </w:pPr>
      <w:r>
        <w:t xml:space="preserve">Jennings, Jay T. 2016. “Mixed Reactions: How Religious Motivation Explains Responses to Religious Rhetoric in Politics.” </w:t>
      </w:r>
      <w:r>
        <w:rPr>
          <w:i/>
          <w:iCs/>
        </w:rPr>
        <w:t xml:space="preserve">Political Research Quarterly </w:t>
      </w:r>
      <w:r>
        <w:t>69 (2): 296-308. DOI:</w:t>
      </w:r>
      <w:r w:rsidRPr="00D84856">
        <w:t xml:space="preserve"> 10.1177/1065912916636690</w:t>
      </w:r>
    </w:p>
    <w:p w14:paraId="316DBAC0" w14:textId="56CC459F" w:rsidR="005A07BE" w:rsidRDefault="00A61D93" w:rsidP="005A07BE">
      <w:pPr>
        <w:spacing w:line="480" w:lineRule="auto"/>
        <w:ind w:left="720" w:hanging="720"/>
        <w:rPr>
          <w:szCs w:val="24"/>
        </w:rPr>
      </w:pPr>
      <w:proofErr w:type="spellStart"/>
      <w:r w:rsidRPr="006F0D5B">
        <w:t>Kalyvas</w:t>
      </w:r>
      <w:proofErr w:type="spellEnd"/>
      <w:r w:rsidRPr="006F0D5B">
        <w:t xml:space="preserve"> </w:t>
      </w:r>
      <w:proofErr w:type="spellStart"/>
      <w:r w:rsidRPr="006F0D5B">
        <w:t>Stathis</w:t>
      </w:r>
      <w:proofErr w:type="spellEnd"/>
      <w:r w:rsidRPr="006F0D5B">
        <w:t xml:space="preserve"> N., and Laia </w:t>
      </w:r>
      <w:proofErr w:type="spellStart"/>
      <w:r w:rsidRPr="006F0D5B">
        <w:t>Balcells</w:t>
      </w:r>
      <w:proofErr w:type="spellEnd"/>
      <w:r w:rsidRPr="006F0D5B">
        <w:t xml:space="preserve">. 2010. “International System and Technologies of Rebellion: How the End of the Cold War Shaped Internal Conflict.” </w:t>
      </w:r>
      <w:r w:rsidRPr="006F0D5B">
        <w:rPr>
          <w:i/>
          <w:iCs/>
        </w:rPr>
        <w:t>American Political Science Review</w:t>
      </w:r>
      <w:r w:rsidRPr="006F0D5B">
        <w:t xml:space="preserve"> 104 (3): 415-429.</w:t>
      </w:r>
      <w:bookmarkStart w:id="11" w:name="_Hlk512433245"/>
    </w:p>
    <w:p w14:paraId="36313BB3" w14:textId="77777777" w:rsidR="005A07BE" w:rsidRDefault="005A07BE" w:rsidP="005A07BE">
      <w:pPr>
        <w:spacing w:line="480" w:lineRule="auto"/>
        <w:ind w:left="720" w:hanging="720"/>
        <w:rPr>
          <w:szCs w:val="24"/>
        </w:rPr>
      </w:pPr>
      <w:r>
        <w:t xml:space="preserve">Keels, Eric, and Krista Wiegand. 2020. “Mutually Assured Distrust: Ideology and Commitment Problems in Civil Wars.” </w:t>
      </w:r>
      <w:r>
        <w:rPr>
          <w:i/>
          <w:iCs/>
        </w:rPr>
        <w:t xml:space="preserve">Journal of Conflict Resolution </w:t>
      </w:r>
      <w:r>
        <w:t xml:space="preserve">64 (10): 2022-2048. DOI: </w:t>
      </w:r>
      <w:r w:rsidRPr="005A07BE">
        <w:t>10.1177/0022002720928414</w:t>
      </w:r>
    </w:p>
    <w:p w14:paraId="15BE63EC" w14:textId="3E89593D" w:rsidR="00FC3B8A" w:rsidRPr="00FC3B8A" w:rsidRDefault="00FC3B8A" w:rsidP="005A07BE">
      <w:pPr>
        <w:spacing w:line="480" w:lineRule="auto"/>
        <w:ind w:left="720" w:hanging="720"/>
        <w:rPr>
          <w:szCs w:val="24"/>
        </w:rPr>
      </w:pPr>
      <w:r>
        <w:t xml:space="preserve">Maoz, </w:t>
      </w:r>
      <w:proofErr w:type="spellStart"/>
      <w:r>
        <w:t>Zeev</w:t>
      </w:r>
      <w:proofErr w:type="spellEnd"/>
      <w:r>
        <w:t xml:space="preserve">, and Errol Anthony Henderson. 2020. </w:t>
      </w:r>
      <w:r w:rsidRPr="00FC3B8A">
        <w:rPr>
          <w:rStyle w:val="muitypography-root"/>
          <w:i/>
          <w:iCs/>
        </w:rPr>
        <w:t xml:space="preserve">Scriptures, </w:t>
      </w:r>
      <w:r>
        <w:rPr>
          <w:rStyle w:val="muitypography-root"/>
          <w:i/>
          <w:iCs/>
        </w:rPr>
        <w:t>S</w:t>
      </w:r>
      <w:r w:rsidRPr="00FC3B8A">
        <w:rPr>
          <w:rStyle w:val="muitypography-root"/>
          <w:i/>
          <w:iCs/>
        </w:rPr>
        <w:t xml:space="preserve">hrines, </w:t>
      </w:r>
      <w:r>
        <w:rPr>
          <w:rStyle w:val="muitypography-root"/>
          <w:i/>
          <w:iCs/>
        </w:rPr>
        <w:t>S</w:t>
      </w:r>
      <w:r w:rsidRPr="00FC3B8A">
        <w:rPr>
          <w:rStyle w:val="muitypography-root"/>
          <w:i/>
          <w:iCs/>
        </w:rPr>
        <w:t xml:space="preserve">capegoats, and </w:t>
      </w:r>
      <w:r>
        <w:rPr>
          <w:rStyle w:val="muitypography-root"/>
          <w:i/>
          <w:iCs/>
        </w:rPr>
        <w:t>W</w:t>
      </w:r>
      <w:r w:rsidRPr="00FC3B8A">
        <w:rPr>
          <w:rStyle w:val="muitypography-root"/>
          <w:i/>
          <w:iCs/>
        </w:rPr>
        <w:t xml:space="preserve">orld </w:t>
      </w:r>
      <w:r>
        <w:rPr>
          <w:rStyle w:val="muitypography-root"/>
          <w:i/>
          <w:iCs/>
        </w:rPr>
        <w:t>P</w:t>
      </w:r>
      <w:r w:rsidRPr="00FC3B8A">
        <w:rPr>
          <w:rStyle w:val="muitypography-root"/>
          <w:i/>
          <w:iCs/>
        </w:rPr>
        <w:t xml:space="preserve">olitics: </w:t>
      </w:r>
      <w:r>
        <w:rPr>
          <w:rStyle w:val="muitypography-root"/>
          <w:i/>
          <w:iCs/>
        </w:rPr>
        <w:t>R</w:t>
      </w:r>
      <w:r w:rsidRPr="00FC3B8A">
        <w:rPr>
          <w:rStyle w:val="muitypography-root"/>
          <w:i/>
          <w:iCs/>
        </w:rPr>
        <w:t xml:space="preserve">eligious </w:t>
      </w:r>
      <w:r>
        <w:rPr>
          <w:rStyle w:val="muitypography-root"/>
          <w:i/>
          <w:iCs/>
        </w:rPr>
        <w:t>S</w:t>
      </w:r>
      <w:r w:rsidRPr="00FC3B8A">
        <w:rPr>
          <w:rStyle w:val="muitypography-root"/>
          <w:i/>
          <w:iCs/>
        </w:rPr>
        <w:t xml:space="preserve">ources of </w:t>
      </w:r>
      <w:r>
        <w:rPr>
          <w:rStyle w:val="muitypography-root"/>
          <w:i/>
          <w:iCs/>
        </w:rPr>
        <w:t>C</w:t>
      </w:r>
      <w:r w:rsidRPr="00FC3B8A">
        <w:rPr>
          <w:rStyle w:val="muitypography-root"/>
          <w:i/>
          <w:iCs/>
        </w:rPr>
        <w:t xml:space="preserve">onflict and </w:t>
      </w:r>
      <w:r>
        <w:rPr>
          <w:rStyle w:val="muitypography-root"/>
          <w:i/>
          <w:iCs/>
        </w:rPr>
        <w:t>C</w:t>
      </w:r>
      <w:r w:rsidRPr="00FC3B8A">
        <w:rPr>
          <w:rStyle w:val="muitypography-root"/>
          <w:i/>
          <w:iCs/>
        </w:rPr>
        <w:t xml:space="preserve">ooperation in the </w:t>
      </w:r>
      <w:r>
        <w:rPr>
          <w:rStyle w:val="muitypography-root"/>
          <w:i/>
          <w:iCs/>
        </w:rPr>
        <w:t>M</w:t>
      </w:r>
      <w:r w:rsidRPr="00FC3B8A">
        <w:rPr>
          <w:rStyle w:val="muitypography-root"/>
          <w:i/>
          <w:iCs/>
        </w:rPr>
        <w:t xml:space="preserve">odern </w:t>
      </w:r>
      <w:r>
        <w:rPr>
          <w:rStyle w:val="muitypography-root"/>
          <w:i/>
          <w:iCs/>
        </w:rPr>
        <w:t>E</w:t>
      </w:r>
      <w:r w:rsidRPr="00FC3B8A">
        <w:rPr>
          <w:rStyle w:val="muitypography-root"/>
          <w:i/>
          <w:iCs/>
        </w:rPr>
        <w:t>ra</w:t>
      </w:r>
      <w:r>
        <w:rPr>
          <w:rStyle w:val="muitypography-root"/>
          <w:i/>
          <w:iCs/>
        </w:rPr>
        <w:t xml:space="preserve">. </w:t>
      </w:r>
      <w:r>
        <w:rPr>
          <w:rStyle w:val="muitypography-root"/>
        </w:rPr>
        <w:t>Ann Arbor: University of Michigan Press.</w:t>
      </w:r>
    </w:p>
    <w:p w14:paraId="54CD5296" w14:textId="5C9F46FF" w:rsidR="00456B8E" w:rsidRPr="006F0D5B" w:rsidRDefault="0039206D" w:rsidP="00F95FBB">
      <w:pPr>
        <w:spacing w:line="480" w:lineRule="auto"/>
        <w:ind w:left="720" w:hanging="720"/>
        <w:rPr>
          <w:rStyle w:val="pagesnum"/>
        </w:rPr>
      </w:pPr>
      <w:r w:rsidRPr="006F0D5B">
        <w:t xml:space="preserve">McLauchlin, Theodore. 2010 April. “Military Strategies and Military Defection in Rebellion.” </w:t>
      </w:r>
      <w:r w:rsidRPr="006F0D5B">
        <w:rPr>
          <w:i/>
          <w:iCs/>
        </w:rPr>
        <w:t xml:space="preserve">Comparative Politics </w:t>
      </w:r>
      <w:r w:rsidRPr="006F0D5B">
        <w:t xml:space="preserve">42 (3): </w:t>
      </w:r>
      <w:r w:rsidRPr="006F0D5B">
        <w:rPr>
          <w:rStyle w:val="pagesnum"/>
        </w:rPr>
        <w:t>333-350. DOI: 10.5129/001041510X12911363509792</w:t>
      </w:r>
    </w:p>
    <w:p w14:paraId="29638FBE" w14:textId="0E14F3B9" w:rsidR="00456B8E" w:rsidRPr="000D7A76" w:rsidRDefault="00456B8E" w:rsidP="00F95FBB">
      <w:pPr>
        <w:spacing w:line="480" w:lineRule="auto"/>
        <w:ind w:left="720" w:hanging="720"/>
      </w:pPr>
      <w:r w:rsidRPr="006F0D5B">
        <w:t xml:space="preserve">McLauchlin, Theodore. 2014. “Desertion, Terrain, and Control of the Home Front in Civil </w:t>
      </w:r>
      <w:r w:rsidRPr="000D7A76">
        <w:t xml:space="preserve">Wars.” </w:t>
      </w:r>
      <w:r w:rsidRPr="000D7A76">
        <w:rPr>
          <w:i/>
          <w:iCs/>
        </w:rPr>
        <w:t xml:space="preserve">Journal of Conflict Resolution </w:t>
      </w:r>
      <w:r w:rsidRPr="000D7A76">
        <w:t>58 (8): 1419-1444. DOI: 10.1177/0022002714547901</w:t>
      </w:r>
    </w:p>
    <w:p w14:paraId="54D6BFAC" w14:textId="1DF94E37" w:rsidR="00662353" w:rsidRPr="000D7A76" w:rsidRDefault="00662353" w:rsidP="00F95FBB">
      <w:pPr>
        <w:spacing w:line="480" w:lineRule="auto"/>
        <w:ind w:left="720" w:hanging="720"/>
      </w:pPr>
      <w:r w:rsidRPr="000D7A76">
        <w:t>McLauchlin</w:t>
      </w:r>
      <w:r w:rsidR="000D7A76">
        <w:t>, Theodore.</w:t>
      </w:r>
      <w:r w:rsidRPr="000D7A76">
        <w:t xml:space="preserve"> 2015</w:t>
      </w:r>
      <w:r w:rsidR="000D7A76">
        <w:t>. “</w:t>
      </w:r>
      <w:r w:rsidR="000D7A76" w:rsidRPr="000D7A76">
        <w:t>Desertion and Collective Action in Civil Wars</w:t>
      </w:r>
      <w:r w:rsidR="000D7A76">
        <w:t xml:space="preserve">.” </w:t>
      </w:r>
      <w:r w:rsidR="000D7A76">
        <w:rPr>
          <w:i/>
          <w:iCs/>
        </w:rPr>
        <w:t>International Studies Quarterly</w:t>
      </w:r>
      <w:r w:rsidR="000D7A76">
        <w:t xml:space="preserve"> 59: 669-679.</w:t>
      </w:r>
    </w:p>
    <w:bookmarkEnd w:id="11"/>
    <w:p w14:paraId="6979063B" w14:textId="7C8BDF70" w:rsidR="00F1616E" w:rsidRDefault="00F1616E" w:rsidP="00F1616E">
      <w:pPr>
        <w:spacing w:line="480" w:lineRule="auto"/>
        <w:ind w:left="720" w:hanging="720"/>
      </w:pPr>
      <w:r>
        <w:lastRenderedPageBreak/>
        <w:t xml:space="preserve">Mecham Quinn. 2017. </w:t>
      </w:r>
      <w:r w:rsidRPr="00F1616E">
        <w:rPr>
          <w:i/>
          <w:iCs/>
        </w:rPr>
        <w:t>Institutional Origins of Islamist Political Mobilization</w:t>
      </w:r>
      <w:r>
        <w:t>. Cambridge: Cambridge University Press.</w:t>
      </w:r>
    </w:p>
    <w:p w14:paraId="06EB40CD" w14:textId="761046CC" w:rsidR="008A76C7" w:rsidRDefault="008A76C7" w:rsidP="000744AC">
      <w:pPr>
        <w:spacing w:line="480" w:lineRule="auto"/>
        <w:ind w:left="720" w:hanging="720"/>
      </w:pPr>
      <w:r>
        <w:t>R Core Team. 2022. “R: A Language and Environment for Statistical Computing.” Vienna: R Foundation for Statistical Computing. https://www.R-project.org/</w:t>
      </w:r>
    </w:p>
    <w:p w14:paraId="0CEEADFB" w14:textId="5060F301" w:rsidR="000744AC" w:rsidRDefault="000744AC" w:rsidP="000744AC">
      <w:pPr>
        <w:spacing w:line="480" w:lineRule="auto"/>
        <w:ind w:left="720" w:hanging="720"/>
        <w:rPr>
          <w:rFonts w:asciiTheme="majorBidi" w:hAnsiTheme="majorBidi" w:cstheme="majorBidi"/>
          <w:szCs w:val="24"/>
        </w:rPr>
      </w:pPr>
      <w:proofErr w:type="spellStart"/>
      <w:r w:rsidRPr="00FF3AD6">
        <w:rPr>
          <w:rFonts w:asciiTheme="majorBidi" w:hAnsiTheme="majorBidi" w:cstheme="majorBidi"/>
          <w:szCs w:val="24"/>
        </w:rPr>
        <w:t>Saikia</w:t>
      </w:r>
      <w:proofErr w:type="spellEnd"/>
      <w:r w:rsidRPr="00FF3AD6">
        <w:rPr>
          <w:rFonts w:asciiTheme="majorBidi" w:hAnsiTheme="majorBidi" w:cstheme="majorBidi"/>
          <w:szCs w:val="24"/>
        </w:rPr>
        <w:t xml:space="preserve">, </w:t>
      </w:r>
      <w:proofErr w:type="spellStart"/>
      <w:r w:rsidRPr="00FF3AD6">
        <w:rPr>
          <w:rFonts w:asciiTheme="majorBidi" w:hAnsiTheme="majorBidi" w:cstheme="majorBidi"/>
          <w:szCs w:val="24"/>
        </w:rPr>
        <w:t>Pahi</w:t>
      </w:r>
      <w:proofErr w:type="spellEnd"/>
      <w:r w:rsidRPr="00FF3AD6">
        <w:rPr>
          <w:rFonts w:asciiTheme="majorBidi" w:hAnsiTheme="majorBidi" w:cstheme="majorBidi"/>
          <w:szCs w:val="24"/>
        </w:rPr>
        <w:t>. 2009, September. “Protest Networks, Communicative Mechanisms and State Responses: Ethnic Mobilization and Violence in Northeast India.” Ph.D. Diss. McGill University.</w:t>
      </w:r>
    </w:p>
    <w:p w14:paraId="29D25D69" w14:textId="40FCCC0B" w:rsidR="00DE1029" w:rsidRDefault="00DE1029" w:rsidP="000744AC">
      <w:pPr>
        <w:spacing w:line="480" w:lineRule="auto"/>
        <w:ind w:left="720" w:hanging="720"/>
        <w:rPr>
          <w:rFonts w:asciiTheme="majorBidi" w:hAnsiTheme="majorBidi" w:cstheme="majorBidi"/>
          <w:szCs w:val="24"/>
        </w:rPr>
      </w:pPr>
      <w:proofErr w:type="spellStart"/>
      <w:r w:rsidRPr="006F0D5B">
        <w:rPr>
          <w:rFonts w:asciiTheme="majorBidi" w:hAnsiTheme="majorBidi" w:cstheme="majorBidi"/>
          <w:szCs w:val="24"/>
        </w:rPr>
        <w:t>Schubiger</w:t>
      </w:r>
      <w:proofErr w:type="spellEnd"/>
      <w:r w:rsidRPr="006F0D5B">
        <w:rPr>
          <w:rFonts w:asciiTheme="majorBidi" w:hAnsiTheme="majorBidi" w:cstheme="majorBidi"/>
          <w:szCs w:val="24"/>
        </w:rPr>
        <w:t xml:space="preserve">, Livia Isabella, and Matthew </w:t>
      </w:r>
      <w:proofErr w:type="spellStart"/>
      <w:r w:rsidRPr="006F0D5B">
        <w:rPr>
          <w:rFonts w:asciiTheme="majorBidi" w:hAnsiTheme="majorBidi" w:cstheme="majorBidi"/>
          <w:szCs w:val="24"/>
        </w:rPr>
        <w:t>Zelina</w:t>
      </w:r>
      <w:proofErr w:type="spellEnd"/>
      <w:r w:rsidRPr="006F0D5B">
        <w:rPr>
          <w:rFonts w:asciiTheme="majorBidi" w:hAnsiTheme="majorBidi" w:cstheme="majorBidi"/>
          <w:szCs w:val="24"/>
        </w:rPr>
        <w:t xml:space="preserve">. 2017 October. “Ideology in Armed Groups.” </w:t>
      </w:r>
      <w:r w:rsidRPr="006F0D5B">
        <w:rPr>
          <w:rFonts w:asciiTheme="majorBidi" w:hAnsiTheme="majorBidi" w:cstheme="majorBidi"/>
          <w:i/>
          <w:iCs/>
          <w:szCs w:val="24"/>
        </w:rPr>
        <w:t>PS: Political Science and Politics</w:t>
      </w:r>
      <w:r w:rsidRPr="006F0D5B">
        <w:rPr>
          <w:rFonts w:asciiTheme="majorBidi" w:hAnsiTheme="majorBidi" w:cstheme="majorBidi"/>
          <w:szCs w:val="24"/>
        </w:rPr>
        <w:t>: 948-951. DOI: 10.1017/S1049096517001056</w:t>
      </w:r>
    </w:p>
    <w:p w14:paraId="3D2CAB1F" w14:textId="1BB4625D" w:rsidR="00D61875" w:rsidRPr="006F0D5B" w:rsidRDefault="00D61875" w:rsidP="000744AC">
      <w:pPr>
        <w:spacing w:line="480" w:lineRule="auto"/>
        <w:ind w:left="720" w:hanging="720"/>
        <w:rPr>
          <w:rFonts w:asciiTheme="majorBidi" w:hAnsiTheme="majorBidi" w:cstheme="majorBidi"/>
          <w:szCs w:val="24"/>
        </w:rPr>
      </w:pPr>
      <w:proofErr w:type="spellStart"/>
      <w:r w:rsidRPr="00D61875">
        <w:rPr>
          <w:rFonts w:asciiTheme="majorBidi" w:hAnsiTheme="majorBidi" w:cstheme="majorBidi"/>
          <w:szCs w:val="24"/>
        </w:rPr>
        <w:t>Shadian</w:t>
      </w:r>
      <w:proofErr w:type="spellEnd"/>
      <w:r w:rsidRPr="00D61875">
        <w:rPr>
          <w:rFonts w:asciiTheme="majorBidi" w:hAnsiTheme="majorBidi" w:cstheme="majorBidi"/>
          <w:szCs w:val="24"/>
        </w:rPr>
        <w:t>, Jessica. 2006. “Reconceptualizing Sovereignty through Indigenous Autonomy: A Case Study of Arctic Governance and the Inuit Circumpolar Conference.” Ph.D. Diss. University of Delaware.</w:t>
      </w:r>
    </w:p>
    <w:p w14:paraId="74C20660" w14:textId="240D1299" w:rsidR="002E6A07" w:rsidRDefault="0028219D" w:rsidP="00F95FBB">
      <w:pPr>
        <w:spacing w:line="480" w:lineRule="auto"/>
        <w:ind w:left="720" w:hanging="720"/>
      </w:pPr>
      <w:r>
        <w:t>(</w:t>
      </w:r>
      <w:r w:rsidR="002E6A07">
        <w:t>START</w:t>
      </w:r>
      <w:r>
        <w:t>)</w:t>
      </w:r>
      <w:r w:rsidR="002E6A07">
        <w:t xml:space="preserve"> </w:t>
      </w:r>
      <w:r w:rsidR="002E6A07" w:rsidRPr="002E6A07">
        <w:t xml:space="preserve">National Consortium for the Study of Terrorism and Responses to Terrorism. 2018. Global Terrorism Database. Retrieved </w:t>
      </w:r>
      <w:r w:rsidR="002E6A07">
        <w:t xml:space="preserve">January 14, 2019, </w:t>
      </w:r>
      <w:r w:rsidR="002E6A07" w:rsidRPr="002E6A07">
        <w:t>from https://www.start.umd.edu/gtd</w:t>
      </w:r>
    </w:p>
    <w:p w14:paraId="4963B720" w14:textId="6B4B68CF" w:rsidR="001F1E9A" w:rsidRPr="006F0D5B" w:rsidRDefault="001F1E9A" w:rsidP="00F95FBB">
      <w:pPr>
        <w:spacing w:line="480" w:lineRule="auto"/>
        <w:ind w:left="720" w:hanging="720"/>
        <w:rPr>
          <w:rFonts w:asciiTheme="majorBidi" w:hAnsiTheme="majorBidi" w:cstheme="majorBidi"/>
          <w:szCs w:val="24"/>
        </w:rPr>
      </w:pPr>
      <w:r w:rsidRPr="001F1E9A">
        <w:rPr>
          <w:rFonts w:asciiTheme="majorBidi" w:hAnsiTheme="majorBidi" w:cstheme="majorBidi"/>
          <w:szCs w:val="24"/>
        </w:rPr>
        <w:t>Sundberg, Ralph, and Erik Melander</w:t>
      </w:r>
      <w:r>
        <w:rPr>
          <w:rFonts w:asciiTheme="majorBidi" w:hAnsiTheme="majorBidi" w:cstheme="majorBidi"/>
          <w:szCs w:val="24"/>
        </w:rPr>
        <w:t>.</w:t>
      </w:r>
      <w:r w:rsidRPr="001F1E9A">
        <w:rPr>
          <w:rFonts w:asciiTheme="majorBidi" w:hAnsiTheme="majorBidi" w:cstheme="majorBidi"/>
          <w:szCs w:val="24"/>
        </w:rPr>
        <w:t xml:space="preserve"> 2013</w:t>
      </w:r>
      <w:r>
        <w:rPr>
          <w:rFonts w:asciiTheme="majorBidi" w:hAnsiTheme="majorBidi" w:cstheme="majorBidi"/>
          <w:szCs w:val="24"/>
        </w:rPr>
        <w:t>.</w:t>
      </w:r>
      <w:r w:rsidRPr="001F1E9A">
        <w:rPr>
          <w:rFonts w:asciiTheme="majorBidi" w:hAnsiTheme="majorBidi" w:cstheme="majorBidi"/>
          <w:szCs w:val="24"/>
        </w:rPr>
        <w:t xml:space="preserve"> “Introducing the UCDP Georeferenced Event Dataset</w:t>
      </w:r>
      <w:r>
        <w:rPr>
          <w:rFonts w:asciiTheme="majorBidi" w:hAnsiTheme="majorBidi" w:cstheme="majorBidi"/>
          <w:szCs w:val="24"/>
        </w:rPr>
        <w:t>.</w:t>
      </w:r>
      <w:r w:rsidRPr="001F1E9A">
        <w:rPr>
          <w:rFonts w:asciiTheme="majorBidi" w:hAnsiTheme="majorBidi" w:cstheme="majorBidi"/>
          <w:szCs w:val="24"/>
        </w:rPr>
        <w:t xml:space="preserve">” </w:t>
      </w:r>
      <w:r w:rsidRPr="001F1E9A">
        <w:rPr>
          <w:rFonts w:asciiTheme="majorBidi" w:hAnsiTheme="majorBidi" w:cstheme="majorBidi"/>
          <w:i/>
          <w:iCs/>
          <w:szCs w:val="24"/>
        </w:rPr>
        <w:t>Journal of Peace Research</w:t>
      </w:r>
      <w:r w:rsidRPr="001F1E9A">
        <w:rPr>
          <w:rFonts w:asciiTheme="majorBidi" w:hAnsiTheme="majorBidi" w:cstheme="majorBidi"/>
          <w:szCs w:val="24"/>
        </w:rPr>
        <w:t xml:space="preserve"> 50</w:t>
      </w:r>
      <w:r>
        <w:rPr>
          <w:rFonts w:asciiTheme="majorBidi" w:hAnsiTheme="majorBidi" w:cstheme="majorBidi"/>
          <w:szCs w:val="24"/>
        </w:rPr>
        <w:t xml:space="preserve"> (</w:t>
      </w:r>
      <w:r w:rsidRPr="001F1E9A">
        <w:rPr>
          <w:rFonts w:asciiTheme="majorBidi" w:hAnsiTheme="majorBidi" w:cstheme="majorBidi"/>
          <w:szCs w:val="24"/>
        </w:rPr>
        <w:t>4</w:t>
      </w:r>
      <w:r>
        <w:rPr>
          <w:rFonts w:asciiTheme="majorBidi" w:hAnsiTheme="majorBidi" w:cstheme="majorBidi"/>
          <w:szCs w:val="24"/>
        </w:rPr>
        <w:t>):</w:t>
      </w:r>
      <w:r w:rsidRPr="001F1E9A">
        <w:rPr>
          <w:rFonts w:asciiTheme="majorBidi" w:hAnsiTheme="majorBidi" w:cstheme="majorBidi"/>
          <w:szCs w:val="24"/>
        </w:rPr>
        <w:t xml:space="preserve"> 523-532</w:t>
      </w:r>
      <w:r>
        <w:rPr>
          <w:rFonts w:asciiTheme="majorBidi" w:hAnsiTheme="majorBidi" w:cstheme="majorBidi"/>
          <w:szCs w:val="24"/>
        </w:rPr>
        <w:t>.</w:t>
      </w:r>
    </w:p>
    <w:p w14:paraId="41A149D5" w14:textId="77777777" w:rsidR="00F95FBB" w:rsidRPr="00F95FBB" w:rsidRDefault="00F95FBB" w:rsidP="00F95FBB">
      <w:pPr>
        <w:spacing w:line="480" w:lineRule="auto"/>
        <w:ind w:left="720" w:hanging="720"/>
      </w:pPr>
      <w:proofErr w:type="spellStart"/>
      <w:r>
        <w:t>Svensson</w:t>
      </w:r>
      <w:proofErr w:type="spellEnd"/>
      <w:r>
        <w:t xml:space="preserve">, Isak, and Desirée Nilsson. 2018. “Disputes over the Divine: Introducing the Religion and Armed Conflict (RELAC) Data, 1975 to 2015.” </w:t>
      </w:r>
      <w:r>
        <w:rPr>
          <w:i/>
          <w:iCs/>
        </w:rPr>
        <w:t xml:space="preserve">Journal of Conflict Resolution </w:t>
      </w:r>
      <w:r>
        <w:t xml:space="preserve">62 (5): 1127-1148. DOI: </w:t>
      </w:r>
      <w:r w:rsidRPr="00F95FBB">
        <w:t>10.1177/0022002717737057</w:t>
      </w:r>
    </w:p>
    <w:p w14:paraId="33D2D662" w14:textId="565F8C6F" w:rsidR="00685580" w:rsidRDefault="00685580" w:rsidP="00F95FBB">
      <w:pPr>
        <w:spacing w:line="480" w:lineRule="auto"/>
        <w:ind w:left="720" w:hanging="720"/>
        <w:rPr>
          <w:rFonts w:asciiTheme="majorBidi" w:hAnsiTheme="majorBidi" w:cstheme="majorBidi"/>
          <w:szCs w:val="24"/>
        </w:rPr>
      </w:pPr>
      <w:proofErr w:type="spellStart"/>
      <w:r w:rsidRPr="006F0D5B">
        <w:rPr>
          <w:rFonts w:asciiTheme="majorBidi" w:hAnsiTheme="majorBidi" w:cstheme="majorBidi"/>
          <w:szCs w:val="24"/>
        </w:rPr>
        <w:t>Szekely</w:t>
      </w:r>
      <w:proofErr w:type="spellEnd"/>
      <w:r w:rsidRPr="006F0D5B">
        <w:rPr>
          <w:rFonts w:asciiTheme="majorBidi" w:hAnsiTheme="majorBidi" w:cstheme="majorBidi"/>
          <w:szCs w:val="24"/>
        </w:rPr>
        <w:t>, Ora Beach.  2011. “Send Lawyers Guns and Money: The Politics of Militia Survival in the Middle East.” Ph.D. Diss. McGill University.</w:t>
      </w:r>
    </w:p>
    <w:p w14:paraId="2A9B72FD" w14:textId="34668CE5" w:rsidR="0070032A" w:rsidRPr="0070032A" w:rsidRDefault="0070032A" w:rsidP="00F95FBB">
      <w:pPr>
        <w:spacing w:line="480" w:lineRule="auto"/>
        <w:ind w:left="720" w:hanging="720"/>
        <w:rPr>
          <w:rFonts w:asciiTheme="majorBidi" w:hAnsiTheme="majorBidi" w:cstheme="majorBidi"/>
          <w:szCs w:val="24"/>
        </w:rPr>
      </w:pPr>
      <w:proofErr w:type="spellStart"/>
      <w:r>
        <w:rPr>
          <w:rFonts w:asciiTheme="majorBidi" w:hAnsiTheme="majorBidi" w:cstheme="majorBidi"/>
          <w:szCs w:val="24"/>
        </w:rPr>
        <w:lastRenderedPageBreak/>
        <w:t>Szekely</w:t>
      </w:r>
      <w:proofErr w:type="spellEnd"/>
      <w:r>
        <w:rPr>
          <w:rFonts w:asciiTheme="majorBidi" w:hAnsiTheme="majorBidi" w:cstheme="majorBidi"/>
          <w:szCs w:val="24"/>
        </w:rPr>
        <w:t xml:space="preserve">, Ora. 2014. “Doing Well by Doing Good: Understanding Hamas’s Social Services as Political Advertising.” </w:t>
      </w:r>
      <w:r>
        <w:rPr>
          <w:rFonts w:asciiTheme="majorBidi" w:hAnsiTheme="majorBidi" w:cstheme="majorBidi"/>
          <w:i/>
          <w:iCs/>
          <w:szCs w:val="24"/>
        </w:rPr>
        <w:t xml:space="preserve">Studies in Conflict and Terrorism </w:t>
      </w:r>
      <w:r w:rsidR="00D62A4A">
        <w:rPr>
          <w:rFonts w:asciiTheme="majorBidi" w:hAnsiTheme="majorBidi" w:cstheme="majorBidi"/>
          <w:szCs w:val="24"/>
        </w:rPr>
        <w:t xml:space="preserve">38 (4): 275-292. DOI: </w:t>
      </w:r>
      <w:r w:rsidR="00D62A4A" w:rsidRPr="00D62A4A">
        <w:rPr>
          <w:rFonts w:asciiTheme="majorBidi" w:hAnsiTheme="majorBidi" w:cstheme="majorBidi"/>
          <w:szCs w:val="24"/>
        </w:rPr>
        <w:t>10.1080/1057610X.2014.995565</w:t>
      </w:r>
    </w:p>
    <w:p w14:paraId="3044E2A8" w14:textId="77777777" w:rsidR="00F95FBB" w:rsidRPr="007E0F88" w:rsidRDefault="00F95FBB" w:rsidP="00F95FBB">
      <w:pPr>
        <w:spacing w:line="480" w:lineRule="auto"/>
        <w:ind w:left="720" w:hanging="720"/>
      </w:pPr>
      <w:r>
        <w:t xml:space="preserve">Toft, Monica Duffy. 2021. “Getting Religion Right in Civil Wars.” </w:t>
      </w:r>
      <w:r>
        <w:rPr>
          <w:i/>
          <w:iCs/>
        </w:rPr>
        <w:t xml:space="preserve">Journal of Conflict Resolution </w:t>
      </w:r>
      <w:r>
        <w:t xml:space="preserve">65 (9): 1607-1634. DOI: </w:t>
      </w:r>
      <w:r w:rsidRPr="00F95FBB">
        <w:t>10.1177/0022002721997895</w:t>
      </w:r>
    </w:p>
    <w:p w14:paraId="422FCAFC" w14:textId="77777777" w:rsidR="00DE1029" w:rsidRPr="006F0D5B" w:rsidRDefault="00DE1029" w:rsidP="00F95FBB">
      <w:pPr>
        <w:spacing w:line="480" w:lineRule="auto"/>
        <w:ind w:left="720" w:hanging="720"/>
        <w:rPr>
          <w:rFonts w:asciiTheme="majorBidi" w:hAnsiTheme="majorBidi" w:cstheme="majorBidi"/>
          <w:szCs w:val="24"/>
        </w:rPr>
      </w:pPr>
      <w:proofErr w:type="spellStart"/>
      <w:r w:rsidRPr="006F0D5B">
        <w:rPr>
          <w:rFonts w:asciiTheme="majorBidi" w:hAnsiTheme="majorBidi" w:cstheme="majorBidi"/>
          <w:szCs w:val="24"/>
        </w:rPr>
        <w:t>Ugarriza</w:t>
      </w:r>
      <w:proofErr w:type="spellEnd"/>
      <w:r w:rsidRPr="006F0D5B">
        <w:rPr>
          <w:rFonts w:asciiTheme="majorBidi" w:hAnsiTheme="majorBidi" w:cstheme="majorBidi"/>
          <w:szCs w:val="24"/>
        </w:rPr>
        <w:t xml:space="preserve">, Juan E., and Matthew J. Craig. 2012. “The Relevance of Ideology to Contemporary Armed Conflicts: A Quantitative Analysis of Former Combatants in Colombia.” </w:t>
      </w:r>
      <w:r w:rsidRPr="006F0D5B">
        <w:rPr>
          <w:rFonts w:asciiTheme="majorBidi" w:hAnsiTheme="majorBidi" w:cstheme="majorBidi"/>
          <w:i/>
          <w:iCs/>
          <w:szCs w:val="24"/>
        </w:rPr>
        <w:t>Journal of Conflict Resolution</w:t>
      </w:r>
      <w:r w:rsidRPr="006F0D5B">
        <w:rPr>
          <w:rFonts w:asciiTheme="majorBidi" w:hAnsiTheme="majorBidi" w:cstheme="majorBidi"/>
          <w:szCs w:val="24"/>
        </w:rPr>
        <w:t xml:space="preserve"> 57 (3): 445-477.</w:t>
      </w:r>
    </w:p>
    <w:p w14:paraId="3E8AF9C4" w14:textId="43FE482D" w:rsidR="00DE1029" w:rsidRDefault="00DE1029" w:rsidP="00F95FBB">
      <w:pPr>
        <w:spacing w:line="480" w:lineRule="auto"/>
        <w:ind w:left="720" w:hanging="720"/>
        <w:rPr>
          <w:rFonts w:asciiTheme="majorBidi" w:hAnsiTheme="majorBidi" w:cstheme="majorBidi"/>
          <w:szCs w:val="24"/>
        </w:rPr>
      </w:pPr>
      <w:r w:rsidRPr="006F0D5B">
        <w:rPr>
          <w:rFonts w:asciiTheme="majorBidi" w:hAnsiTheme="majorBidi" w:cstheme="majorBidi"/>
          <w:szCs w:val="24"/>
        </w:rPr>
        <w:t xml:space="preserve">Walter, Barbara F. 2017. “The Extremist’s Advantage in Civil Wars.” </w:t>
      </w:r>
      <w:r w:rsidRPr="006F0D5B">
        <w:rPr>
          <w:rFonts w:asciiTheme="majorBidi" w:hAnsiTheme="majorBidi" w:cstheme="majorBidi"/>
          <w:i/>
          <w:iCs/>
          <w:szCs w:val="24"/>
        </w:rPr>
        <w:t xml:space="preserve">International Security </w:t>
      </w:r>
      <w:r w:rsidRPr="006F0D5B">
        <w:rPr>
          <w:rFonts w:asciiTheme="majorBidi" w:hAnsiTheme="majorBidi" w:cstheme="majorBidi"/>
          <w:szCs w:val="24"/>
        </w:rPr>
        <w:t>42 (2): 7-39. DOI: 10.1162/ISEC_a_00292</w:t>
      </w:r>
    </w:p>
    <w:p w14:paraId="0D23C270" w14:textId="471FBA2B" w:rsidR="00E060E0" w:rsidRPr="00256048" w:rsidRDefault="00E060E0" w:rsidP="00F95FBB">
      <w:pPr>
        <w:spacing w:line="480" w:lineRule="auto"/>
        <w:ind w:left="720" w:hanging="720"/>
        <w:rPr>
          <w:rFonts w:asciiTheme="majorBidi" w:hAnsiTheme="majorBidi" w:cstheme="majorBidi"/>
          <w:i/>
          <w:iCs/>
          <w:szCs w:val="24"/>
        </w:rPr>
      </w:pPr>
      <w:r>
        <w:rPr>
          <w:rFonts w:asciiTheme="majorBidi" w:hAnsiTheme="majorBidi" w:cstheme="majorBidi"/>
          <w:szCs w:val="24"/>
        </w:rPr>
        <w:t xml:space="preserve">Weinstein, Jeremy M. 2007. </w:t>
      </w:r>
      <w:r>
        <w:rPr>
          <w:rFonts w:asciiTheme="majorBidi" w:hAnsiTheme="majorBidi" w:cstheme="majorBidi"/>
          <w:i/>
          <w:iCs/>
          <w:szCs w:val="24"/>
        </w:rPr>
        <w:t xml:space="preserve">Inside Rebellion: </w:t>
      </w:r>
      <w:r w:rsidRPr="00E060E0">
        <w:rPr>
          <w:rFonts w:asciiTheme="majorBidi" w:hAnsiTheme="majorBidi" w:cstheme="majorBidi"/>
          <w:i/>
          <w:iCs/>
          <w:szCs w:val="24"/>
        </w:rPr>
        <w:t>The Politics of Insurgent Violence. Cambridge: Cambridge University Press.</w:t>
      </w:r>
    </w:p>
    <w:p w14:paraId="15899111" w14:textId="77777777" w:rsidR="00AB68EF" w:rsidRDefault="00DE1029" w:rsidP="00F95FBB">
      <w:pPr>
        <w:spacing w:line="480" w:lineRule="auto"/>
        <w:ind w:left="720" w:hanging="720"/>
        <w:rPr>
          <w:rFonts w:asciiTheme="majorBidi" w:hAnsiTheme="majorBidi" w:cstheme="majorBidi"/>
          <w:szCs w:val="24"/>
        </w:rPr>
      </w:pPr>
      <w:r w:rsidRPr="006F0D5B">
        <w:rPr>
          <w:rFonts w:asciiTheme="majorBidi" w:hAnsiTheme="majorBidi" w:cstheme="majorBidi"/>
          <w:szCs w:val="24"/>
        </w:rPr>
        <w:t xml:space="preserve">White, Peter B., </w:t>
      </w:r>
      <w:proofErr w:type="spellStart"/>
      <w:r w:rsidRPr="006F0D5B">
        <w:rPr>
          <w:rFonts w:asciiTheme="majorBidi" w:hAnsiTheme="majorBidi" w:cstheme="majorBidi"/>
          <w:szCs w:val="24"/>
        </w:rPr>
        <w:t>Dragana</w:t>
      </w:r>
      <w:proofErr w:type="spellEnd"/>
      <w:r w:rsidRPr="006F0D5B">
        <w:rPr>
          <w:rFonts w:asciiTheme="majorBidi" w:hAnsiTheme="majorBidi" w:cstheme="majorBidi"/>
          <w:szCs w:val="24"/>
        </w:rPr>
        <w:t xml:space="preserve"> Vidovic, </w:t>
      </w:r>
      <w:proofErr w:type="spellStart"/>
      <w:r w:rsidRPr="006F0D5B">
        <w:rPr>
          <w:rFonts w:asciiTheme="majorBidi" w:hAnsiTheme="majorBidi" w:cstheme="majorBidi"/>
          <w:szCs w:val="24"/>
        </w:rPr>
        <w:t>Belén</w:t>
      </w:r>
      <w:proofErr w:type="spellEnd"/>
      <w:r w:rsidRPr="006F0D5B">
        <w:rPr>
          <w:rFonts w:asciiTheme="majorBidi" w:hAnsiTheme="majorBidi" w:cstheme="majorBidi"/>
          <w:szCs w:val="24"/>
        </w:rPr>
        <w:t xml:space="preserve"> González, Kristian </w:t>
      </w:r>
      <w:proofErr w:type="spellStart"/>
      <w:r w:rsidRPr="006F0D5B">
        <w:rPr>
          <w:rFonts w:asciiTheme="majorBidi" w:hAnsiTheme="majorBidi" w:cstheme="majorBidi"/>
          <w:szCs w:val="24"/>
        </w:rPr>
        <w:t>Skrede</w:t>
      </w:r>
      <w:proofErr w:type="spellEnd"/>
      <w:r w:rsidRPr="006F0D5B">
        <w:rPr>
          <w:rFonts w:asciiTheme="majorBidi" w:hAnsiTheme="majorBidi" w:cstheme="majorBidi"/>
          <w:szCs w:val="24"/>
        </w:rPr>
        <w:t xml:space="preserve"> </w:t>
      </w:r>
      <w:proofErr w:type="spellStart"/>
      <w:r w:rsidRPr="006F0D5B">
        <w:rPr>
          <w:rFonts w:asciiTheme="majorBidi" w:hAnsiTheme="majorBidi" w:cstheme="majorBidi"/>
          <w:szCs w:val="24"/>
        </w:rPr>
        <w:t>Gleditsch</w:t>
      </w:r>
      <w:proofErr w:type="spellEnd"/>
      <w:r w:rsidRPr="006F0D5B">
        <w:rPr>
          <w:rFonts w:asciiTheme="majorBidi" w:hAnsiTheme="majorBidi" w:cstheme="majorBidi"/>
          <w:szCs w:val="24"/>
        </w:rPr>
        <w:t xml:space="preserve">, and David E. Cunningham. 2015. “Nonviolence as a Weapon of the Resourceful: From Claims to Tactics in Mobilization.” </w:t>
      </w:r>
      <w:r w:rsidRPr="006F0D5B">
        <w:rPr>
          <w:rFonts w:asciiTheme="majorBidi" w:hAnsiTheme="majorBidi" w:cstheme="majorBidi"/>
          <w:i/>
          <w:iCs/>
          <w:szCs w:val="24"/>
        </w:rPr>
        <w:t>Mobilization: An International Quarterly</w:t>
      </w:r>
      <w:r w:rsidRPr="006F0D5B">
        <w:rPr>
          <w:rFonts w:asciiTheme="majorBidi" w:hAnsiTheme="majorBidi" w:cstheme="majorBidi"/>
          <w:szCs w:val="24"/>
        </w:rPr>
        <w:t xml:space="preserve"> 20 (4): 471-491.</w:t>
      </w:r>
    </w:p>
    <w:p w14:paraId="483F7AFA" w14:textId="77777777" w:rsidR="002A2077" w:rsidRDefault="002A2077" w:rsidP="00F95FBB">
      <w:pPr>
        <w:spacing w:line="480" w:lineRule="auto"/>
        <w:rPr>
          <w:b/>
        </w:rPr>
      </w:pPr>
      <w:r>
        <w:rPr>
          <w:b/>
        </w:rPr>
        <w:br w:type="page"/>
      </w:r>
    </w:p>
    <w:p w14:paraId="62554C5D" w14:textId="4D243146" w:rsidR="003030CD" w:rsidRDefault="003030CD" w:rsidP="003030CD">
      <w:pPr>
        <w:pStyle w:val="Heading1"/>
      </w:pPr>
      <w:r w:rsidRPr="003030CD">
        <w:lastRenderedPageBreak/>
        <w:t xml:space="preserve">Appendix </w:t>
      </w:r>
      <w:r w:rsidR="00C27C3A">
        <w:t>1</w:t>
      </w:r>
      <w:r>
        <w:t>: Predicted Probability Tables</w:t>
      </w:r>
    </w:p>
    <w:p w14:paraId="1353D2BB" w14:textId="530299CA" w:rsidR="003030CD" w:rsidRPr="003A1551" w:rsidRDefault="003030CD" w:rsidP="003030CD">
      <w:pPr>
        <w:rPr>
          <w:b/>
          <w:bCs/>
        </w:rPr>
      </w:pPr>
      <w:r w:rsidRPr="003A1551">
        <w:rPr>
          <w:b/>
          <w:bCs/>
        </w:rPr>
        <w:t xml:space="preserve">Table </w:t>
      </w:r>
      <w:r w:rsidR="003A1551" w:rsidRPr="003A1551">
        <w:rPr>
          <w:b/>
          <w:bCs/>
        </w:rPr>
        <w:t>7</w:t>
      </w:r>
      <w:r w:rsidRPr="003A1551">
        <w:rPr>
          <w:b/>
          <w:bCs/>
        </w:rPr>
        <w:t xml:space="preserve">: </w:t>
      </w:r>
      <w:r w:rsidR="003B396F" w:rsidRPr="003A1551">
        <w:rPr>
          <w:b/>
          <w:bCs/>
        </w:rPr>
        <w:t xml:space="preserve">Amounts of </w:t>
      </w:r>
      <w:r w:rsidRPr="003A1551">
        <w:rPr>
          <w:b/>
          <w:bCs/>
        </w:rPr>
        <w:t xml:space="preserve">Predicted Probability </w:t>
      </w:r>
      <w:r w:rsidR="003B396F" w:rsidRPr="003A1551">
        <w:rPr>
          <w:b/>
          <w:bCs/>
        </w:rPr>
        <w:t>for Ending Activity by Religion and Signals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5"/>
        <w:gridCol w:w="980"/>
        <w:gridCol w:w="980"/>
        <w:gridCol w:w="1127"/>
        <w:gridCol w:w="1274"/>
        <w:gridCol w:w="1324"/>
      </w:tblGrid>
      <w:tr w:rsidR="00C27C3A" w:rsidRPr="00C27C3A" w14:paraId="6F3163EF" w14:textId="77777777" w:rsidTr="00C27C3A">
        <w:trPr>
          <w:tblCellSpacing w:w="15" w:type="dxa"/>
        </w:trPr>
        <w:tc>
          <w:tcPr>
            <w:tcW w:w="0" w:type="auto"/>
            <w:gridSpan w:val="6"/>
            <w:tcBorders>
              <w:bottom w:val="single" w:sz="6" w:space="0" w:color="000000"/>
            </w:tcBorders>
            <w:vAlign w:val="center"/>
            <w:hideMark/>
          </w:tcPr>
          <w:p w14:paraId="2123A303" w14:textId="77777777" w:rsidR="00C27C3A" w:rsidRPr="00C27C3A" w:rsidRDefault="00C27C3A" w:rsidP="00C27C3A">
            <w:pPr>
              <w:rPr>
                <w:rFonts w:eastAsia="Times New Roman" w:cs="Times New Roman"/>
                <w:szCs w:val="20"/>
              </w:rPr>
            </w:pPr>
          </w:p>
        </w:tc>
      </w:tr>
      <w:tr w:rsidR="00C27C3A" w:rsidRPr="00C27C3A" w14:paraId="6AF746AB" w14:textId="77777777" w:rsidTr="00C27C3A">
        <w:trPr>
          <w:tblCellSpacing w:w="15" w:type="dxa"/>
        </w:trPr>
        <w:tc>
          <w:tcPr>
            <w:tcW w:w="0" w:type="auto"/>
            <w:vAlign w:val="center"/>
            <w:hideMark/>
          </w:tcPr>
          <w:p w14:paraId="54D3AA5B" w14:textId="77777777" w:rsidR="00C27C3A" w:rsidRPr="00C27C3A" w:rsidRDefault="00C27C3A" w:rsidP="00C27C3A">
            <w:pPr>
              <w:rPr>
                <w:rFonts w:eastAsia="Times New Roman" w:cs="Times New Roman"/>
                <w:szCs w:val="24"/>
              </w:rPr>
            </w:pPr>
            <w:r w:rsidRPr="00C27C3A">
              <w:rPr>
                <w:rFonts w:eastAsia="Times New Roman" w:cs="Times New Roman"/>
                <w:szCs w:val="24"/>
              </w:rPr>
              <w:t>Model</w:t>
            </w:r>
          </w:p>
        </w:tc>
        <w:tc>
          <w:tcPr>
            <w:tcW w:w="0" w:type="auto"/>
            <w:vAlign w:val="center"/>
            <w:hideMark/>
          </w:tcPr>
          <w:p w14:paraId="573B3980"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Ideology</w:t>
            </w:r>
          </w:p>
        </w:tc>
        <w:tc>
          <w:tcPr>
            <w:tcW w:w="0" w:type="auto"/>
            <w:vAlign w:val="center"/>
            <w:hideMark/>
          </w:tcPr>
          <w:p w14:paraId="1619D88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Signals</w:t>
            </w:r>
          </w:p>
        </w:tc>
        <w:tc>
          <w:tcPr>
            <w:tcW w:w="0" w:type="auto"/>
            <w:vAlign w:val="center"/>
            <w:hideMark/>
          </w:tcPr>
          <w:p w14:paraId="7894F554"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Probability</w:t>
            </w:r>
          </w:p>
        </w:tc>
        <w:tc>
          <w:tcPr>
            <w:tcW w:w="0" w:type="auto"/>
            <w:vAlign w:val="center"/>
            <w:hideMark/>
          </w:tcPr>
          <w:p w14:paraId="0594977F"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95% C.I. Min</w:t>
            </w:r>
          </w:p>
        </w:tc>
        <w:tc>
          <w:tcPr>
            <w:tcW w:w="0" w:type="auto"/>
            <w:vAlign w:val="center"/>
            <w:hideMark/>
          </w:tcPr>
          <w:p w14:paraId="30849FE8"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95% C.I. Max</w:t>
            </w:r>
          </w:p>
        </w:tc>
      </w:tr>
      <w:tr w:rsidR="00C27C3A" w:rsidRPr="00C27C3A" w14:paraId="76CCADE2" w14:textId="77777777" w:rsidTr="00C27C3A">
        <w:trPr>
          <w:tblCellSpacing w:w="15" w:type="dxa"/>
        </w:trPr>
        <w:tc>
          <w:tcPr>
            <w:tcW w:w="0" w:type="auto"/>
            <w:gridSpan w:val="6"/>
            <w:tcBorders>
              <w:bottom w:val="single" w:sz="6" w:space="0" w:color="000000"/>
            </w:tcBorders>
            <w:vAlign w:val="center"/>
            <w:hideMark/>
          </w:tcPr>
          <w:p w14:paraId="2B5F0196" w14:textId="77777777" w:rsidR="00C27C3A" w:rsidRPr="00C27C3A" w:rsidRDefault="00C27C3A" w:rsidP="00C27C3A">
            <w:pPr>
              <w:jc w:val="center"/>
              <w:rPr>
                <w:rFonts w:eastAsia="Times New Roman" w:cs="Times New Roman"/>
                <w:szCs w:val="24"/>
              </w:rPr>
            </w:pPr>
          </w:p>
        </w:tc>
      </w:tr>
      <w:tr w:rsidR="00C27C3A" w:rsidRPr="00C27C3A" w14:paraId="0E22E1EB" w14:textId="77777777" w:rsidTr="00C27C3A">
        <w:trPr>
          <w:tblCellSpacing w:w="15" w:type="dxa"/>
        </w:trPr>
        <w:tc>
          <w:tcPr>
            <w:tcW w:w="0" w:type="auto"/>
            <w:vAlign w:val="center"/>
            <w:hideMark/>
          </w:tcPr>
          <w:p w14:paraId="2537A180" w14:textId="77777777" w:rsidR="00C27C3A" w:rsidRPr="00C27C3A" w:rsidRDefault="00C27C3A" w:rsidP="00C27C3A">
            <w:pPr>
              <w:rPr>
                <w:rFonts w:eastAsia="Times New Roman" w:cs="Times New Roman"/>
                <w:szCs w:val="24"/>
              </w:rPr>
            </w:pPr>
            <w:r w:rsidRPr="00C27C3A">
              <w:rPr>
                <w:rFonts w:eastAsia="Times New Roman" w:cs="Times New Roman"/>
                <w:szCs w:val="24"/>
              </w:rPr>
              <w:t>M1: Religion Alone</w:t>
            </w:r>
          </w:p>
        </w:tc>
        <w:tc>
          <w:tcPr>
            <w:tcW w:w="0" w:type="auto"/>
            <w:vAlign w:val="center"/>
            <w:hideMark/>
          </w:tcPr>
          <w:p w14:paraId="623B82A4"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w:t>
            </w:r>
          </w:p>
        </w:tc>
        <w:tc>
          <w:tcPr>
            <w:tcW w:w="0" w:type="auto"/>
            <w:vAlign w:val="center"/>
            <w:hideMark/>
          </w:tcPr>
          <w:p w14:paraId="200FB0EF"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NA</w:t>
            </w:r>
          </w:p>
        </w:tc>
        <w:tc>
          <w:tcPr>
            <w:tcW w:w="0" w:type="auto"/>
            <w:vAlign w:val="center"/>
            <w:hideMark/>
          </w:tcPr>
          <w:p w14:paraId="1503951F"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0.037</w:t>
            </w:r>
          </w:p>
        </w:tc>
        <w:tc>
          <w:tcPr>
            <w:tcW w:w="0" w:type="auto"/>
            <w:vAlign w:val="center"/>
            <w:hideMark/>
          </w:tcPr>
          <w:p w14:paraId="457C8700"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0.022</w:t>
            </w:r>
          </w:p>
        </w:tc>
        <w:tc>
          <w:tcPr>
            <w:tcW w:w="0" w:type="auto"/>
            <w:vAlign w:val="center"/>
            <w:hideMark/>
          </w:tcPr>
          <w:p w14:paraId="5553E271"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0.057</w:t>
            </w:r>
          </w:p>
        </w:tc>
      </w:tr>
      <w:tr w:rsidR="00C27C3A" w:rsidRPr="00C27C3A" w14:paraId="6D055E1C" w14:textId="77777777" w:rsidTr="00C27C3A">
        <w:trPr>
          <w:tblCellSpacing w:w="15" w:type="dxa"/>
        </w:trPr>
        <w:tc>
          <w:tcPr>
            <w:tcW w:w="0" w:type="auto"/>
            <w:vAlign w:val="center"/>
            <w:hideMark/>
          </w:tcPr>
          <w:p w14:paraId="6B41B82E" w14:textId="77777777" w:rsidR="00C27C3A" w:rsidRPr="00C27C3A" w:rsidRDefault="00C27C3A" w:rsidP="00C27C3A">
            <w:pPr>
              <w:rPr>
                <w:rFonts w:eastAsia="Times New Roman" w:cs="Times New Roman"/>
                <w:szCs w:val="24"/>
              </w:rPr>
            </w:pPr>
            <w:r w:rsidRPr="00C27C3A">
              <w:rPr>
                <w:rFonts w:eastAsia="Times New Roman" w:cs="Times New Roman"/>
                <w:szCs w:val="24"/>
              </w:rPr>
              <w:t>M1: Religion Alone</w:t>
            </w:r>
          </w:p>
        </w:tc>
        <w:tc>
          <w:tcPr>
            <w:tcW w:w="0" w:type="auto"/>
            <w:vAlign w:val="center"/>
            <w:hideMark/>
          </w:tcPr>
          <w:p w14:paraId="5343A54F"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1</w:t>
            </w:r>
          </w:p>
        </w:tc>
        <w:tc>
          <w:tcPr>
            <w:tcW w:w="0" w:type="auto"/>
            <w:vAlign w:val="center"/>
            <w:hideMark/>
          </w:tcPr>
          <w:p w14:paraId="6529B76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NA</w:t>
            </w:r>
          </w:p>
        </w:tc>
        <w:tc>
          <w:tcPr>
            <w:tcW w:w="0" w:type="auto"/>
            <w:vAlign w:val="center"/>
            <w:hideMark/>
          </w:tcPr>
          <w:p w14:paraId="0C6E570C"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0.008</w:t>
            </w:r>
          </w:p>
        </w:tc>
        <w:tc>
          <w:tcPr>
            <w:tcW w:w="0" w:type="auto"/>
            <w:vAlign w:val="center"/>
            <w:hideMark/>
          </w:tcPr>
          <w:p w14:paraId="000E0C4E"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0.002</w:t>
            </w:r>
          </w:p>
        </w:tc>
        <w:tc>
          <w:tcPr>
            <w:tcW w:w="0" w:type="auto"/>
            <w:vAlign w:val="center"/>
            <w:hideMark/>
          </w:tcPr>
          <w:p w14:paraId="35FAAE81"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0.023</w:t>
            </w:r>
          </w:p>
        </w:tc>
      </w:tr>
      <w:tr w:rsidR="00C27C3A" w:rsidRPr="00C27C3A" w14:paraId="4B56554C" w14:textId="77777777" w:rsidTr="00C27C3A">
        <w:trPr>
          <w:tblCellSpacing w:w="15" w:type="dxa"/>
        </w:trPr>
        <w:tc>
          <w:tcPr>
            <w:tcW w:w="0" w:type="auto"/>
            <w:vAlign w:val="center"/>
            <w:hideMark/>
          </w:tcPr>
          <w:p w14:paraId="01F83816" w14:textId="77777777" w:rsidR="00C27C3A" w:rsidRPr="00C27C3A" w:rsidRDefault="00C27C3A" w:rsidP="00C27C3A">
            <w:pPr>
              <w:rPr>
                <w:rFonts w:eastAsia="Times New Roman" w:cs="Times New Roman"/>
                <w:szCs w:val="24"/>
              </w:rPr>
            </w:pPr>
            <w:r w:rsidRPr="00C27C3A">
              <w:rPr>
                <w:rFonts w:eastAsia="Times New Roman" w:cs="Times New Roman"/>
                <w:szCs w:val="24"/>
              </w:rPr>
              <w:t>M2: Membership Practices Alone</w:t>
            </w:r>
          </w:p>
        </w:tc>
        <w:tc>
          <w:tcPr>
            <w:tcW w:w="0" w:type="auto"/>
            <w:vAlign w:val="center"/>
            <w:hideMark/>
          </w:tcPr>
          <w:p w14:paraId="2A8C444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NA</w:t>
            </w:r>
          </w:p>
        </w:tc>
        <w:tc>
          <w:tcPr>
            <w:tcW w:w="0" w:type="auto"/>
            <w:vAlign w:val="center"/>
            <w:hideMark/>
          </w:tcPr>
          <w:p w14:paraId="62248960"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w:t>
            </w:r>
          </w:p>
        </w:tc>
        <w:tc>
          <w:tcPr>
            <w:tcW w:w="0" w:type="auto"/>
            <w:vAlign w:val="center"/>
            <w:hideMark/>
          </w:tcPr>
          <w:p w14:paraId="2EB7051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0.054</w:t>
            </w:r>
          </w:p>
        </w:tc>
        <w:tc>
          <w:tcPr>
            <w:tcW w:w="0" w:type="auto"/>
            <w:vAlign w:val="center"/>
            <w:hideMark/>
          </w:tcPr>
          <w:p w14:paraId="3E4AF555"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0.032</w:t>
            </w:r>
          </w:p>
        </w:tc>
        <w:tc>
          <w:tcPr>
            <w:tcW w:w="0" w:type="auto"/>
            <w:vAlign w:val="center"/>
            <w:hideMark/>
          </w:tcPr>
          <w:p w14:paraId="5CB29DA3"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0.088</w:t>
            </w:r>
          </w:p>
        </w:tc>
      </w:tr>
      <w:tr w:rsidR="00C27C3A" w:rsidRPr="00C27C3A" w14:paraId="7602592B" w14:textId="77777777" w:rsidTr="00C27C3A">
        <w:trPr>
          <w:tblCellSpacing w:w="15" w:type="dxa"/>
        </w:trPr>
        <w:tc>
          <w:tcPr>
            <w:tcW w:w="0" w:type="auto"/>
            <w:vAlign w:val="center"/>
            <w:hideMark/>
          </w:tcPr>
          <w:p w14:paraId="4A1331B4" w14:textId="77777777" w:rsidR="00C27C3A" w:rsidRPr="00C27C3A" w:rsidRDefault="00C27C3A" w:rsidP="00C27C3A">
            <w:pPr>
              <w:rPr>
                <w:rFonts w:eastAsia="Times New Roman" w:cs="Times New Roman"/>
                <w:szCs w:val="24"/>
              </w:rPr>
            </w:pPr>
            <w:r w:rsidRPr="00C27C3A">
              <w:rPr>
                <w:rFonts w:eastAsia="Times New Roman" w:cs="Times New Roman"/>
                <w:szCs w:val="24"/>
              </w:rPr>
              <w:t>M2: Membership Practices Alone</w:t>
            </w:r>
          </w:p>
        </w:tc>
        <w:tc>
          <w:tcPr>
            <w:tcW w:w="0" w:type="auto"/>
            <w:vAlign w:val="center"/>
            <w:hideMark/>
          </w:tcPr>
          <w:p w14:paraId="5D66B23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NA</w:t>
            </w:r>
          </w:p>
        </w:tc>
        <w:tc>
          <w:tcPr>
            <w:tcW w:w="0" w:type="auto"/>
            <w:vAlign w:val="center"/>
            <w:hideMark/>
          </w:tcPr>
          <w:p w14:paraId="47CFAA11"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1</w:t>
            </w:r>
          </w:p>
        </w:tc>
        <w:tc>
          <w:tcPr>
            <w:tcW w:w="0" w:type="auto"/>
            <w:vAlign w:val="center"/>
            <w:hideMark/>
          </w:tcPr>
          <w:p w14:paraId="04BC2FF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0.007</w:t>
            </w:r>
          </w:p>
        </w:tc>
        <w:tc>
          <w:tcPr>
            <w:tcW w:w="0" w:type="auto"/>
            <w:vAlign w:val="center"/>
            <w:hideMark/>
          </w:tcPr>
          <w:p w14:paraId="4288A56B"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0.002</w:t>
            </w:r>
          </w:p>
        </w:tc>
        <w:tc>
          <w:tcPr>
            <w:tcW w:w="0" w:type="auto"/>
            <w:vAlign w:val="center"/>
            <w:hideMark/>
          </w:tcPr>
          <w:p w14:paraId="0F3EC46E"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0.018</w:t>
            </w:r>
          </w:p>
        </w:tc>
      </w:tr>
      <w:tr w:rsidR="00C27C3A" w:rsidRPr="00C27C3A" w14:paraId="781DE7CB" w14:textId="77777777" w:rsidTr="00C27C3A">
        <w:trPr>
          <w:tblCellSpacing w:w="15" w:type="dxa"/>
        </w:trPr>
        <w:tc>
          <w:tcPr>
            <w:tcW w:w="0" w:type="auto"/>
            <w:vAlign w:val="center"/>
            <w:hideMark/>
          </w:tcPr>
          <w:p w14:paraId="5323C313" w14:textId="77777777" w:rsidR="00C27C3A" w:rsidRPr="00C27C3A" w:rsidRDefault="00C27C3A" w:rsidP="00C27C3A">
            <w:pPr>
              <w:rPr>
                <w:rFonts w:eastAsia="Times New Roman" w:cs="Times New Roman"/>
                <w:szCs w:val="24"/>
              </w:rPr>
            </w:pPr>
            <w:r w:rsidRPr="00C27C3A">
              <w:rPr>
                <w:rFonts w:eastAsia="Times New Roman" w:cs="Times New Roman"/>
                <w:szCs w:val="24"/>
              </w:rPr>
              <w:t>M3: Religion with Controls</w:t>
            </w:r>
          </w:p>
        </w:tc>
        <w:tc>
          <w:tcPr>
            <w:tcW w:w="0" w:type="auto"/>
            <w:vAlign w:val="center"/>
            <w:hideMark/>
          </w:tcPr>
          <w:p w14:paraId="1DFFA4DE"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w:t>
            </w:r>
          </w:p>
        </w:tc>
        <w:tc>
          <w:tcPr>
            <w:tcW w:w="0" w:type="auto"/>
            <w:vAlign w:val="center"/>
            <w:hideMark/>
          </w:tcPr>
          <w:p w14:paraId="7364A0E0"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NA</w:t>
            </w:r>
          </w:p>
        </w:tc>
        <w:tc>
          <w:tcPr>
            <w:tcW w:w="0" w:type="auto"/>
            <w:vAlign w:val="center"/>
            <w:hideMark/>
          </w:tcPr>
          <w:p w14:paraId="767CB578"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0.039</w:t>
            </w:r>
          </w:p>
        </w:tc>
        <w:tc>
          <w:tcPr>
            <w:tcW w:w="0" w:type="auto"/>
            <w:vAlign w:val="center"/>
            <w:hideMark/>
          </w:tcPr>
          <w:p w14:paraId="294AC5C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0.025</w:t>
            </w:r>
          </w:p>
        </w:tc>
        <w:tc>
          <w:tcPr>
            <w:tcW w:w="0" w:type="auto"/>
            <w:vAlign w:val="center"/>
            <w:hideMark/>
          </w:tcPr>
          <w:p w14:paraId="3492A057"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0.058</w:t>
            </w:r>
          </w:p>
        </w:tc>
      </w:tr>
      <w:tr w:rsidR="00C27C3A" w:rsidRPr="00C27C3A" w14:paraId="094A65C9" w14:textId="77777777" w:rsidTr="00C27C3A">
        <w:trPr>
          <w:tblCellSpacing w:w="15" w:type="dxa"/>
        </w:trPr>
        <w:tc>
          <w:tcPr>
            <w:tcW w:w="0" w:type="auto"/>
            <w:vAlign w:val="center"/>
            <w:hideMark/>
          </w:tcPr>
          <w:p w14:paraId="2E524DCF" w14:textId="77777777" w:rsidR="00C27C3A" w:rsidRPr="00C27C3A" w:rsidRDefault="00C27C3A" w:rsidP="00C27C3A">
            <w:pPr>
              <w:rPr>
                <w:rFonts w:eastAsia="Times New Roman" w:cs="Times New Roman"/>
                <w:szCs w:val="24"/>
              </w:rPr>
            </w:pPr>
            <w:r w:rsidRPr="00C27C3A">
              <w:rPr>
                <w:rFonts w:eastAsia="Times New Roman" w:cs="Times New Roman"/>
                <w:szCs w:val="24"/>
              </w:rPr>
              <w:t>M3: Religion with Controls</w:t>
            </w:r>
          </w:p>
        </w:tc>
        <w:tc>
          <w:tcPr>
            <w:tcW w:w="0" w:type="auto"/>
            <w:vAlign w:val="center"/>
            <w:hideMark/>
          </w:tcPr>
          <w:p w14:paraId="267FC9CE"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1</w:t>
            </w:r>
          </w:p>
        </w:tc>
        <w:tc>
          <w:tcPr>
            <w:tcW w:w="0" w:type="auto"/>
            <w:vAlign w:val="center"/>
            <w:hideMark/>
          </w:tcPr>
          <w:p w14:paraId="0F6DA1E1"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NA</w:t>
            </w:r>
          </w:p>
        </w:tc>
        <w:tc>
          <w:tcPr>
            <w:tcW w:w="0" w:type="auto"/>
            <w:vAlign w:val="center"/>
            <w:hideMark/>
          </w:tcPr>
          <w:p w14:paraId="7BE7F77F"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0.008</w:t>
            </w:r>
          </w:p>
        </w:tc>
        <w:tc>
          <w:tcPr>
            <w:tcW w:w="0" w:type="auto"/>
            <w:vAlign w:val="center"/>
            <w:hideMark/>
          </w:tcPr>
          <w:p w14:paraId="0D0EBD4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0.002</w:t>
            </w:r>
          </w:p>
        </w:tc>
        <w:tc>
          <w:tcPr>
            <w:tcW w:w="0" w:type="auto"/>
            <w:vAlign w:val="center"/>
            <w:hideMark/>
          </w:tcPr>
          <w:p w14:paraId="097FDCE8"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0.024</w:t>
            </w:r>
          </w:p>
        </w:tc>
      </w:tr>
      <w:tr w:rsidR="00C27C3A" w:rsidRPr="00C27C3A" w14:paraId="6F7A773E" w14:textId="77777777" w:rsidTr="00C27C3A">
        <w:trPr>
          <w:tblCellSpacing w:w="15" w:type="dxa"/>
        </w:trPr>
        <w:tc>
          <w:tcPr>
            <w:tcW w:w="0" w:type="auto"/>
            <w:vAlign w:val="center"/>
            <w:hideMark/>
          </w:tcPr>
          <w:p w14:paraId="062F77A9" w14:textId="77777777" w:rsidR="00C27C3A" w:rsidRPr="00C27C3A" w:rsidRDefault="00C27C3A" w:rsidP="00C27C3A">
            <w:pPr>
              <w:rPr>
                <w:rFonts w:eastAsia="Times New Roman" w:cs="Times New Roman"/>
                <w:szCs w:val="24"/>
              </w:rPr>
            </w:pPr>
            <w:r w:rsidRPr="00C27C3A">
              <w:rPr>
                <w:rFonts w:eastAsia="Times New Roman" w:cs="Times New Roman"/>
                <w:szCs w:val="24"/>
              </w:rPr>
              <w:t>M4: Membership Practices with Controls</w:t>
            </w:r>
          </w:p>
        </w:tc>
        <w:tc>
          <w:tcPr>
            <w:tcW w:w="0" w:type="auto"/>
            <w:vAlign w:val="center"/>
            <w:hideMark/>
          </w:tcPr>
          <w:p w14:paraId="660E453D"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NA</w:t>
            </w:r>
          </w:p>
        </w:tc>
        <w:tc>
          <w:tcPr>
            <w:tcW w:w="0" w:type="auto"/>
            <w:vAlign w:val="center"/>
            <w:hideMark/>
          </w:tcPr>
          <w:p w14:paraId="4C8333DD"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w:t>
            </w:r>
          </w:p>
        </w:tc>
        <w:tc>
          <w:tcPr>
            <w:tcW w:w="0" w:type="auto"/>
            <w:vAlign w:val="center"/>
            <w:hideMark/>
          </w:tcPr>
          <w:p w14:paraId="6069850B"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0.053</w:t>
            </w:r>
          </w:p>
        </w:tc>
        <w:tc>
          <w:tcPr>
            <w:tcW w:w="0" w:type="auto"/>
            <w:vAlign w:val="center"/>
            <w:hideMark/>
          </w:tcPr>
          <w:p w14:paraId="4B21D614"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0.032</w:t>
            </w:r>
          </w:p>
        </w:tc>
        <w:tc>
          <w:tcPr>
            <w:tcW w:w="0" w:type="auto"/>
            <w:vAlign w:val="center"/>
            <w:hideMark/>
          </w:tcPr>
          <w:p w14:paraId="6C1EAA5C"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0.088</w:t>
            </w:r>
          </w:p>
        </w:tc>
      </w:tr>
      <w:tr w:rsidR="00C27C3A" w:rsidRPr="00C27C3A" w14:paraId="497FE9EA" w14:textId="77777777" w:rsidTr="00C27C3A">
        <w:trPr>
          <w:tblCellSpacing w:w="15" w:type="dxa"/>
        </w:trPr>
        <w:tc>
          <w:tcPr>
            <w:tcW w:w="0" w:type="auto"/>
            <w:vAlign w:val="center"/>
            <w:hideMark/>
          </w:tcPr>
          <w:p w14:paraId="483D6E0C" w14:textId="77777777" w:rsidR="00C27C3A" w:rsidRPr="00C27C3A" w:rsidRDefault="00C27C3A" w:rsidP="00C27C3A">
            <w:pPr>
              <w:rPr>
                <w:rFonts w:eastAsia="Times New Roman" w:cs="Times New Roman"/>
                <w:szCs w:val="24"/>
              </w:rPr>
            </w:pPr>
            <w:r w:rsidRPr="00C27C3A">
              <w:rPr>
                <w:rFonts w:eastAsia="Times New Roman" w:cs="Times New Roman"/>
                <w:szCs w:val="24"/>
              </w:rPr>
              <w:t>M4: Membership Practices with Controls</w:t>
            </w:r>
          </w:p>
        </w:tc>
        <w:tc>
          <w:tcPr>
            <w:tcW w:w="0" w:type="auto"/>
            <w:vAlign w:val="center"/>
            <w:hideMark/>
          </w:tcPr>
          <w:p w14:paraId="77B3AB2E"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NA</w:t>
            </w:r>
          </w:p>
        </w:tc>
        <w:tc>
          <w:tcPr>
            <w:tcW w:w="0" w:type="auto"/>
            <w:vAlign w:val="center"/>
            <w:hideMark/>
          </w:tcPr>
          <w:p w14:paraId="42BB085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1</w:t>
            </w:r>
          </w:p>
        </w:tc>
        <w:tc>
          <w:tcPr>
            <w:tcW w:w="0" w:type="auto"/>
            <w:vAlign w:val="center"/>
            <w:hideMark/>
          </w:tcPr>
          <w:p w14:paraId="1C3B9234"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0.008</w:t>
            </w:r>
          </w:p>
        </w:tc>
        <w:tc>
          <w:tcPr>
            <w:tcW w:w="0" w:type="auto"/>
            <w:vAlign w:val="center"/>
            <w:hideMark/>
          </w:tcPr>
          <w:p w14:paraId="346488E4"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0.002</w:t>
            </w:r>
          </w:p>
        </w:tc>
        <w:tc>
          <w:tcPr>
            <w:tcW w:w="0" w:type="auto"/>
            <w:vAlign w:val="center"/>
            <w:hideMark/>
          </w:tcPr>
          <w:p w14:paraId="0FE46EEB"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0.021</w:t>
            </w:r>
          </w:p>
        </w:tc>
      </w:tr>
      <w:tr w:rsidR="00C27C3A" w:rsidRPr="00C27C3A" w14:paraId="7FB9520C" w14:textId="77777777" w:rsidTr="00C27C3A">
        <w:trPr>
          <w:tblCellSpacing w:w="15" w:type="dxa"/>
        </w:trPr>
        <w:tc>
          <w:tcPr>
            <w:tcW w:w="0" w:type="auto"/>
            <w:vAlign w:val="center"/>
            <w:hideMark/>
          </w:tcPr>
          <w:p w14:paraId="4B3D86DB" w14:textId="77777777" w:rsidR="00C27C3A" w:rsidRPr="00C27C3A" w:rsidRDefault="00C27C3A" w:rsidP="00C27C3A">
            <w:pPr>
              <w:rPr>
                <w:rFonts w:eastAsia="Times New Roman" w:cs="Times New Roman"/>
                <w:szCs w:val="24"/>
              </w:rPr>
            </w:pPr>
            <w:r w:rsidRPr="00C27C3A">
              <w:rPr>
                <w:rFonts w:eastAsia="Times New Roman" w:cs="Times New Roman"/>
                <w:szCs w:val="24"/>
              </w:rPr>
              <w:t>M5: Both</w:t>
            </w:r>
          </w:p>
        </w:tc>
        <w:tc>
          <w:tcPr>
            <w:tcW w:w="0" w:type="auto"/>
            <w:vAlign w:val="center"/>
            <w:hideMark/>
          </w:tcPr>
          <w:p w14:paraId="126B5907"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w:t>
            </w:r>
          </w:p>
        </w:tc>
        <w:tc>
          <w:tcPr>
            <w:tcW w:w="0" w:type="auto"/>
            <w:vAlign w:val="center"/>
            <w:hideMark/>
          </w:tcPr>
          <w:p w14:paraId="3B431060"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Observed</w:t>
            </w:r>
          </w:p>
        </w:tc>
        <w:tc>
          <w:tcPr>
            <w:tcW w:w="0" w:type="auto"/>
            <w:vAlign w:val="center"/>
            <w:hideMark/>
          </w:tcPr>
          <w:p w14:paraId="16D7FA82"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0.032</w:t>
            </w:r>
          </w:p>
        </w:tc>
        <w:tc>
          <w:tcPr>
            <w:tcW w:w="0" w:type="auto"/>
            <w:vAlign w:val="center"/>
            <w:hideMark/>
          </w:tcPr>
          <w:p w14:paraId="76B21993"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0.020</w:t>
            </w:r>
          </w:p>
        </w:tc>
        <w:tc>
          <w:tcPr>
            <w:tcW w:w="0" w:type="auto"/>
            <w:vAlign w:val="center"/>
            <w:hideMark/>
          </w:tcPr>
          <w:p w14:paraId="298C2021"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0.049</w:t>
            </w:r>
          </w:p>
        </w:tc>
      </w:tr>
      <w:tr w:rsidR="00C27C3A" w:rsidRPr="00C27C3A" w14:paraId="24C13A78" w14:textId="77777777" w:rsidTr="00C27C3A">
        <w:trPr>
          <w:tblCellSpacing w:w="15" w:type="dxa"/>
        </w:trPr>
        <w:tc>
          <w:tcPr>
            <w:tcW w:w="0" w:type="auto"/>
            <w:vAlign w:val="center"/>
            <w:hideMark/>
          </w:tcPr>
          <w:p w14:paraId="038DA22E" w14:textId="77777777" w:rsidR="00C27C3A" w:rsidRPr="00C27C3A" w:rsidRDefault="00C27C3A" w:rsidP="00C27C3A">
            <w:pPr>
              <w:rPr>
                <w:rFonts w:eastAsia="Times New Roman" w:cs="Times New Roman"/>
                <w:szCs w:val="24"/>
              </w:rPr>
            </w:pPr>
            <w:r w:rsidRPr="00C27C3A">
              <w:rPr>
                <w:rFonts w:eastAsia="Times New Roman" w:cs="Times New Roman"/>
                <w:szCs w:val="24"/>
              </w:rPr>
              <w:t>M5: Both</w:t>
            </w:r>
          </w:p>
        </w:tc>
        <w:tc>
          <w:tcPr>
            <w:tcW w:w="0" w:type="auto"/>
            <w:vAlign w:val="center"/>
            <w:hideMark/>
          </w:tcPr>
          <w:p w14:paraId="6B93701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1</w:t>
            </w:r>
          </w:p>
        </w:tc>
        <w:tc>
          <w:tcPr>
            <w:tcW w:w="0" w:type="auto"/>
            <w:vAlign w:val="center"/>
            <w:hideMark/>
          </w:tcPr>
          <w:p w14:paraId="123FF0BC"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Observed</w:t>
            </w:r>
          </w:p>
        </w:tc>
        <w:tc>
          <w:tcPr>
            <w:tcW w:w="0" w:type="auto"/>
            <w:vAlign w:val="center"/>
            <w:hideMark/>
          </w:tcPr>
          <w:p w14:paraId="3A030FC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0.011</w:t>
            </w:r>
          </w:p>
        </w:tc>
        <w:tc>
          <w:tcPr>
            <w:tcW w:w="0" w:type="auto"/>
            <w:vAlign w:val="center"/>
            <w:hideMark/>
          </w:tcPr>
          <w:p w14:paraId="2280F09B"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0.002</w:t>
            </w:r>
          </w:p>
        </w:tc>
        <w:tc>
          <w:tcPr>
            <w:tcW w:w="0" w:type="auto"/>
            <w:vAlign w:val="center"/>
            <w:hideMark/>
          </w:tcPr>
          <w:p w14:paraId="479B1D5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0.030</w:t>
            </w:r>
          </w:p>
        </w:tc>
      </w:tr>
      <w:tr w:rsidR="00C27C3A" w:rsidRPr="00C27C3A" w14:paraId="776DB532" w14:textId="77777777" w:rsidTr="00C27C3A">
        <w:trPr>
          <w:tblCellSpacing w:w="15" w:type="dxa"/>
        </w:trPr>
        <w:tc>
          <w:tcPr>
            <w:tcW w:w="0" w:type="auto"/>
            <w:vAlign w:val="center"/>
            <w:hideMark/>
          </w:tcPr>
          <w:p w14:paraId="23ECD959" w14:textId="77777777" w:rsidR="00C27C3A" w:rsidRPr="00C27C3A" w:rsidRDefault="00C27C3A" w:rsidP="00C27C3A">
            <w:pPr>
              <w:rPr>
                <w:rFonts w:eastAsia="Times New Roman" w:cs="Times New Roman"/>
                <w:szCs w:val="24"/>
              </w:rPr>
            </w:pPr>
            <w:r w:rsidRPr="00C27C3A">
              <w:rPr>
                <w:rFonts w:eastAsia="Times New Roman" w:cs="Times New Roman"/>
                <w:szCs w:val="24"/>
              </w:rPr>
              <w:t>M5: Both</w:t>
            </w:r>
          </w:p>
        </w:tc>
        <w:tc>
          <w:tcPr>
            <w:tcW w:w="0" w:type="auto"/>
            <w:vAlign w:val="center"/>
            <w:hideMark/>
          </w:tcPr>
          <w:p w14:paraId="505AF74F"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Observed</w:t>
            </w:r>
          </w:p>
        </w:tc>
        <w:tc>
          <w:tcPr>
            <w:tcW w:w="0" w:type="auto"/>
            <w:vAlign w:val="center"/>
            <w:hideMark/>
          </w:tcPr>
          <w:p w14:paraId="4CCE7295"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w:t>
            </w:r>
          </w:p>
        </w:tc>
        <w:tc>
          <w:tcPr>
            <w:tcW w:w="0" w:type="auto"/>
            <w:vAlign w:val="center"/>
            <w:hideMark/>
          </w:tcPr>
          <w:p w14:paraId="270E92A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0.047</w:t>
            </w:r>
          </w:p>
        </w:tc>
        <w:tc>
          <w:tcPr>
            <w:tcW w:w="0" w:type="auto"/>
            <w:vAlign w:val="center"/>
            <w:hideMark/>
          </w:tcPr>
          <w:p w14:paraId="751CBFF2"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0.028</w:t>
            </w:r>
          </w:p>
        </w:tc>
        <w:tc>
          <w:tcPr>
            <w:tcW w:w="0" w:type="auto"/>
            <w:vAlign w:val="center"/>
            <w:hideMark/>
          </w:tcPr>
          <w:p w14:paraId="6AFC985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0.075</w:t>
            </w:r>
          </w:p>
        </w:tc>
      </w:tr>
      <w:tr w:rsidR="00C27C3A" w:rsidRPr="00C27C3A" w14:paraId="397CB507" w14:textId="77777777" w:rsidTr="00C27C3A">
        <w:trPr>
          <w:tblCellSpacing w:w="15" w:type="dxa"/>
        </w:trPr>
        <w:tc>
          <w:tcPr>
            <w:tcW w:w="0" w:type="auto"/>
            <w:vAlign w:val="center"/>
            <w:hideMark/>
          </w:tcPr>
          <w:p w14:paraId="46CD2CC9" w14:textId="77777777" w:rsidR="00C27C3A" w:rsidRPr="00C27C3A" w:rsidRDefault="00C27C3A" w:rsidP="00C27C3A">
            <w:pPr>
              <w:rPr>
                <w:rFonts w:eastAsia="Times New Roman" w:cs="Times New Roman"/>
                <w:szCs w:val="24"/>
              </w:rPr>
            </w:pPr>
            <w:r w:rsidRPr="00C27C3A">
              <w:rPr>
                <w:rFonts w:eastAsia="Times New Roman" w:cs="Times New Roman"/>
                <w:szCs w:val="24"/>
              </w:rPr>
              <w:t>M5: Both</w:t>
            </w:r>
          </w:p>
        </w:tc>
        <w:tc>
          <w:tcPr>
            <w:tcW w:w="0" w:type="auto"/>
            <w:vAlign w:val="center"/>
            <w:hideMark/>
          </w:tcPr>
          <w:p w14:paraId="483BEAF8"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Observed</w:t>
            </w:r>
          </w:p>
        </w:tc>
        <w:tc>
          <w:tcPr>
            <w:tcW w:w="0" w:type="auto"/>
            <w:vAlign w:val="center"/>
            <w:hideMark/>
          </w:tcPr>
          <w:p w14:paraId="3DB1FEA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1</w:t>
            </w:r>
          </w:p>
        </w:tc>
        <w:tc>
          <w:tcPr>
            <w:tcW w:w="0" w:type="auto"/>
            <w:vAlign w:val="center"/>
            <w:hideMark/>
          </w:tcPr>
          <w:p w14:paraId="7083A00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0.008</w:t>
            </w:r>
          </w:p>
        </w:tc>
        <w:tc>
          <w:tcPr>
            <w:tcW w:w="0" w:type="auto"/>
            <w:vAlign w:val="center"/>
            <w:hideMark/>
          </w:tcPr>
          <w:p w14:paraId="049F8923"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0.002</w:t>
            </w:r>
          </w:p>
        </w:tc>
        <w:tc>
          <w:tcPr>
            <w:tcW w:w="0" w:type="auto"/>
            <w:vAlign w:val="center"/>
            <w:hideMark/>
          </w:tcPr>
          <w:p w14:paraId="775CAD99"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0.021</w:t>
            </w:r>
          </w:p>
        </w:tc>
      </w:tr>
      <w:tr w:rsidR="00C27C3A" w:rsidRPr="00C27C3A" w14:paraId="19E7135D" w14:textId="77777777" w:rsidTr="00C27C3A">
        <w:trPr>
          <w:tblCellSpacing w:w="15" w:type="dxa"/>
        </w:trPr>
        <w:tc>
          <w:tcPr>
            <w:tcW w:w="0" w:type="auto"/>
            <w:vAlign w:val="center"/>
            <w:hideMark/>
          </w:tcPr>
          <w:p w14:paraId="00399D7F" w14:textId="77777777" w:rsidR="00C27C3A" w:rsidRPr="00C27C3A" w:rsidRDefault="00C27C3A" w:rsidP="00C27C3A">
            <w:pPr>
              <w:rPr>
                <w:rFonts w:eastAsia="Times New Roman" w:cs="Times New Roman"/>
                <w:szCs w:val="24"/>
              </w:rPr>
            </w:pPr>
            <w:r w:rsidRPr="00C27C3A">
              <w:rPr>
                <w:rFonts w:eastAsia="Times New Roman" w:cs="Times New Roman"/>
                <w:szCs w:val="24"/>
              </w:rPr>
              <w:t>M6: Both with Controls</w:t>
            </w:r>
          </w:p>
        </w:tc>
        <w:tc>
          <w:tcPr>
            <w:tcW w:w="0" w:type="auto"/>
            <w:vAlign w:val="center"/>
            <w:hideMark/>
          </w:tcPr>
          <w:p w14:paraId="3D5BBD58"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w:t>
            </w:r>
          </w:p>
        </w:tc>
        <w:tc>
          <w:tcPr>
            <w:tcW w:w="0" w:type="auto"/>
            <w:vAlign w:val="center"/>
            <w:hideMark/>
          </w:tcPr>
          <w:p w14:paraId="037BB942"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Observed</w:t>
            </w:r>
          </w:p>
        </w:tc>
        <w:tc>
          <w:tcPr>
            <w:tcW w:w="0" w:type="auto"/>
            <w:vAlign w:val="center"/>
            <w:hideMark/>
          </w:tcPr>
          <w:p w14:paraId="3C7EC423"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0.034</w:t>
            </w:r>
          </w:p>
        </w:tc>
        <w:tc>
          <w:tcPr>
            <w:tcW w:w="0" w:type="auto"/>
            <w:vAlign w:val="center"/>
            <w:hideMark/>
          </w:tcPr>
          <w:p w14:paraId="66373E2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0.022</w:t>
            </w:r>
          </w:p>
        </w:tc>
        <w:tc>
          <w:tcPr>
            <w:tcW w:w="0" w:type="auto"/>
            <w:vAlign w:val="center"/>
            <w:hideMark/>
          </w:tcPr>
          <w:p w14:paraId="7058CE1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0.051</w:t>
            </w:r>
          </w:p>
        </w:tc>
      </w:tr>
      <w:tr w:rsidR="00C27C3A" w:rsidRPr="00C27C3A" w14:paraId="55686AE3" w14:textId="77777777" w:rsidTr="00C27C3A">
        <w:trPr>
          <w:tblCellSpacing w:w="15" w:type="dxa"/>
        </w:trPr>
        <w:tc>
          <w:tcPr>
            <w:tcW w:w="0" w:type="auto"/>
            <w:vAlign w:val="center"/>
            <w:hideMark/>
          </w:tcPr>
          <w:p w14:paraId="50DE8384" w14:textId="77777777" w:rsidR="00C27C3A" w:rsidRPr="00C27C3A" w:rsidRDefault="00C27C3A" w:rsidP="00C27C3A">
            <w:pPr>
              <w:rPr>
                <w:rFonts w:eastAsia="Times New Roman" w:cs="Times New Roman"/>
                <w:szCs w:val="24"/>
              </w:rPr>
            </w:pPr>
            <w:r w:rsidRPr="00C27C3A">
              <w:rPr>
                <w:rFonts w:eastAsia="Times New Roman" w:cs="Times New Roman"/>
                <w:szCs w:val="24"/>
              </w:rPr>
              <w:t>M6: Both with Controls</w:t>
            </w:r>
          </w:p>
        </w:tc>
        <w:tc>
          <w:tcPr>
            <w:tcW w:w="0" w:type="auto"/>
            <w:vAlign w:val="center"/>
            <w:hideMark/>
          </w:tcPr>
          <w:p w14:paraId="036849A8"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1</w:t>
            </w:r>
          </w:p>
        </w:tc>
        <w:tc>
          <w:tcPr>
            <w:tcW w:w="0" w:type="auto"/>
            <w:vAlign w:val="center"/>
            <w:hideMark/>
          </w:tcPr>
          <w:p w14:paraId="52DE5852"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Observed</w:t>
            </w:r>
          </w:p>
        </w:tc>
        <w:tc>
          <w:tcPr>
            <w:tcW w:w="0" w:type="auto"/>
            <w:vAlign w:val="center"/>
            <w:hideMark/>
          </w:tcPr>
          <w:p w14:paraId="36EF14A9"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0.010</w:t>
            </w:r>
          </w:p>
        </w:tc>
        <w:tc>
          <w:tcPr>
            <w:tcW w:w="0" w:type="auto"/>
            <w:vAlign w:val="center"/>
            <w:hideMark/>
          </w:tcPr>
          <w:p w14:paraId="0CF86D31"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0.002</w:t>
            </w:r>
          </w:p>
        </w:tc>
        <w:tc>
          <w:tcPr>
            <w:tcW w:w="0" w:type="auto"/>
            <w:vAlign w:val="center"/>
            <w:hideMark/>
          </w:tcPr>
          <w:p w14:paraId="3181A374"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0.033</w:t>
            </w:r>
          </w:p>
        </w:tc>
      </w:tr>
      <w:tr w:rsidR="00C27C3A" w:rsidRPr="00C27C3A" w14:paraId="1CE5DD1F" w14:textId="77777777" w:rsidTr="00C27C3A">
        <w:trPr>
          <w:tblCellSpacing w:w="15" w:type="dxa"/>
        </w:trPr>
        <w:tc>
          <w:tcPr>
            <w:tcW w:w="0" w:type="auto"/>
            <w:vAlign w:val="center"/>
            <w:hideMark/>
          </w:tcPr>
          <w:p w14:paraId="21D966D3" w14:textId="77777777" w:rsidR="00C27C3A" w:rsidRPr="00C27C3A" w:rsidRDefault="00C27C3A" w:rsidP="00C27C3A">
            <w:pPr>
              <w:rPr>
                <w:rFonts w:eastAsia="Times New Roman" w:cs="Times New Roman"/>
                <w:szCs w:val="24"/>
              </w:rPr>
            </w:pPr>
            <w:r w:rsidRPr="00C27C3A">
              <w:rPr>
                <w:rFonts w:eastAsia="Times New Roman" w:cs="Times New Roman"/>
                <w:szCs w:val="24"/>
              </w:rPr>
              <w:t>M6: Both with Controls</w:t>
            </w:r>
          </w:p>
        </w:tc>
        <w:tc>
          <w:tcPr>
            <w:tcW w:w="0" w:type="auto"/>
            <w:vAlign w:val="center"/>
            <w:hideMark/>
          </w:tcPr>
          <w:p w14:paraId="2C4A76C2"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Observed</w:t>
            </w:r>
          </w:p>
        </w:tc>
        <w:tc>
          <w:tcPr>
            <w:tcW w:w="0" w:type="auto"/>
            <w:vAlign w:val="center"/>
            <w:hideMark/>
          </w:tcPr>
          <w:p w14:paraId="3FBABC9B"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w:t>
            </w:r>
          </w:p>
        </w:tc>
        <w:tc>
          <w:tcPr>
            <w:tcW w:w="0" w:type="auto"/>
            <w:vAlign w:val="center"/>
            <w:hideMark/>
          </w:tcPr>
          <w:p w14:paraId="79E24EC3"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0.045</w:t>
            </w:r>
          </w:p>
        </w:tc>
        <w:tc>
          <w:tcPr>
            <w:tcW w:w="0" w:type="auto"/>
            <w:vAlign w:val="center"/>
            <w:hideMark/>
          </w:tcPr>
          <w:p w14:paraId="79F4817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0.026</w:t>
            </w:r>
          </w:p>
        </w:tc>
        <w:tc>
          <w:tcPr>
            <w:tcW w:w="0" w:type="auto"/>
            <w:vAlign w:val="center"/>
            <w:hideMark/>
          </w:tcPr>
          <w:p w14:paraId="3418223A"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0.076</w:t>
            </w:r>
          </w:p>
        </w:tc>
      </w:tr>
      <w:tr w:rsidR="00C27C3A" w:rsidRPr="00C27C3A" w14:paraId="71975B41" w14:textId="77777777" w:rsidTr="00C27C3A">
        <w:trPr>
          <w:tblCellSpacing w:w="15" w:type="dxa"/>
        </w:trPr>
        <w:tc>
          <w:tcPr>
            <w:tcW w:w="0" w:type="auto"/>
            <w:vAlign w:val="center"/>
            <w:hideMark/>
          </w:tcPr>
          <w:p w14:paraId="39609DC4" w14:textId="77777777" w:rsidR="00C27C3A" w:rsidRPr="00C27C3A" w:rsidRDefault="00C27C3A" w:rsidP="00C27C3A">
            <w:pPr>
              <w:rPr>
                <w:rFonts w:eastAsia="Times New Roman" w:cs="Times New Roman"/>
                <w:szCs w:val="24"/>
              </w:rPr>
            </w:pPr>
            <w:r w:rsidRPr="00C27C3A">
              <w:rPr>
                <w:rFonts w:eastAsia="Times New Roman" w:cs="Times New Roman"/>
                <w:szCs w:val="24"/>
              </w:rPr>
              <w:t>M6: Both with Controls</w:t>
            </w:r>
          </w:p>
        </w:tc>
        <w:tc>
          <w:tcPr>
            <w:tcW w:w="0" w:type="auto"/>
            <w:vAlign w:val="center"/>
            <w:hideMark/>
          </w:tcPr>
          <w:p w14:paraId="4A914830"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Observed</w:t>
            </w:r>
          </w:p>
        </w:tc>
        <w:tc>
          <w:tcPr>
            <w:tcW w:w="0" w:type="auto"/>
            <w:vAlign w:val="center"/>
            <w:hideMark/>
          </w:tcPr>
          <w:p w14:paraId="428B2710"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1</w:t>
            </w:r>
          </w:p>
        </w:tc>
        <w:tc>
          <w:tcPr>
            <w:tcW w:w="0" w:type="auto"/>
            <w:vAlign w:val="center"/>
            <w:hideMark/>
          </w:tcPr>
          <w:p w14:paraId="6F66718B"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0.009</w:t>
            </w:r>
          </w:p>
        </w:tc>
        <w:tc>
          <w:tcPr>
            <w:tcW w:w="0" w:type="auto"/>
            <w:vAlign w:val="center"/>
            <w:hideMark/>
          </w:tcPr>
          <w:p w14:paraId="481ECE71"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0.003</w:t>
            </w:r>
          </w:p>
        </w:tc>
        <w:tc>
          <w:tcPr>
            <w:tcW w:w="0" w:type="auto"/>
            <w:vAlign w:val="center"/>
            <w:hideMark/>
          </w:tcPr>
          <w:p w14:paraId="60E2A316" w14:textId="77777777" w:rsidR="00C27C3A" w:rsidRPr="00C27C3A" w:rsidRDefault="00C27C3A" w:rsidP="00C27C3A">
            <w:pPr>
              <w:jc w:val="center"/>
              <w:rPr>
                <w:rFonts w:eastAsia="Times New Roman" w:cs="Times New Roman"/>
                <w:szCs w:val="24"/>
              </w:rPr>
            </w:pPr>
            <w:r w:rsidRPr="00C27C3A">
              <w:rPr>
                <w:rFonts w:eastAsia="Times New Roman" w:cs="Times New Roman"/>
                <w:szCs w:val="24"/>
              </w:rPr>
              <w:t>0.024</w:t>
            </w:r>
          </w:p>
        </w:tc>
      </w:tr>
      <w:tr w:rsidR="00C27C3A" w:rsidRPr="00C27C3A" w14:paraId="255A017C" w14:textId="77777777" w:rsidTr="00C27C3A">
        <w:trPr>
          <w:tblCellSpacing w:w="15" w:type="dxa"/>
        </w:trPr>
        <w:tc>
          <w:tcPr>
            <w:tcW w:w="0" w:type="auto"/>
            <w:gridSpan w:val="6"/>
            <w:tcBorders>
              <w:bottom w:val="single" w:sz="6" w:space="0" w:color="000000"/>
            </w:tcBorders>
            <w:vAlign w:val="center"/>
            <w:hideMark/>
          </w:tcPr>
          <w:p w14:paraId="5694CBC4" w14:textId="77777777" w:rsidR="00C27C3A" w:rsidRPr="00C27C3A" w:rsidRDefault="00C27C3A" w:rsidP="00C27C3A">
            <w:pPr>
              <w:jc w:val="center"/>
              <w:rPr>
                <w:rFonts w:eastAsia="Times New Roman" w:cs="Times New Roman"/>
                <w:szCs w:val="24"/>
              </w:rPr>
            </w:pPr>
          </w:p>
        </w:tc>
      </w:tr>
    </w:tbl>
    <w:p w14:paraId="06579B87" w14:textId="77777777" w:rsidR="00C27C3A" w:rsidRDefault="00C27C3A" w:rsidP="003030CD"/>
    <w:p w14:paraId="1D702669" w14:textId="514C89EC" w:rsidR="003B396F" w:rsidRPr="00BD04D7" w:rsidRDefault="003B396F" w:rsidP="00377FFA">
      <w:pPr>
        <w:rPr>
          <w:i/>
          <w:iCs/>
        </w:rPr>
      </w:pPr>
      <w:r w:rsidRPr="00BD04D7">
        <w:rPr>
          <w:i/>
          <w:iCs/>
        </w:rPr>
        <w:t>Note: Observed means the predicted probability was calculated with that variable set to the values observed in the data.</w:t>
      </w:r>
    </w:p>
    <w:p w14:paraId="14BBE58E" w14:textId="654A3E3D" w:rsidR="00424CD5" w:rsidRPr="00BD04D7" w:rsidRDefault="00AB68EF" w:rsidP="00377FFA">
      <w:pPr>
        <w:rPr>
          <w:i/>
          <w:iCs/>
        </w:rPr>
      </w:pPr>
      <w:r w:rsidRPr="00BD04D7">
        <w:rPr>
          <w:i/>
          <w:iCs/>
        </w:rPr>
        <w:t>Statistical analysis performed in R (R Core Team 2022); p</w:t>
      </w:r>
      <w:r w:rsidR="004971E1" w:rsidRPr="00BD04D7">
        <w:rPr>
          <w:i/>
          <w:iCs/>
        </w:rPr>
        <w:t>redicted probabilities calculated with the {</w:t>
      </w:r>
      <w:proofErr w:type="spellStart"/>
      <w:r w:rsidR="004971E1" w:rsidRPr="00BD04D7">
        <w:rPr>
          <w:i/>
          <w:iCs/>
        </w:rPr>
        <w:t>DAMisc</w:t>
      </w:r>
      <w:proofErr w:type="spellEnd"/>
      <w:r w:rsidR="004971E1" w:rsidRPr="00BD04D7">
        <w:rPr>
          <w:i/>
          <w:iCs/>
        </w:rPr>
        <w:t>} package</w:t>
      </w:r>
      <w:r w:rsidRPr="00BD04D7">
        <w:rPr>
          <w:i/>
          <w:iCs/>
        </w:rPr>
        <w:t xml:space="preserve"> (Armstrong 2022)</w:t>
      </w:r>
      <w:r w:rsidR="004971E1" w:rsidRPr="00BD04D7">
        <w:rPr>
          <w:i/>
          <w:iCs/>
        </w:rPr>
        <w:t>; t</w:t>
      </w:r>
      <w:r w:rsidR="00424CD5" w:rsidRPr="00BD04D7">
        <w:rPr>
          <w:i/>
          <w:iCs/>
        </w:rPr>
        <w:t xml:space="preserve">ables created with </w:t>
      </w:r>
      <w:r w:rsidR="004971E1" w:rsidRPr="00BD04D7">
        <w:rPr>
          <w:i/>
          <w:iCs/>
        </w:rPr>
        <w:t>{s</w:t>
      </w:r>
      <w:r w:rsidR="00424CD5" w:rsidRPr="00BD04D7">
        <w:rPr>
          <w:i/>
          <w:iCs/>
        </w:rPr>
        <w:t>targazer</w:t>
      </w:r>
      <w:r w:rsidR="004971E1" w:rsidRPr="00BD04D7">
        <w:rPr>
          <w:i/>
          <w:iCs/>
        </w:rPr>
        <w:t xml:space="preserve">} </w:t>
      </w:r>
      <w:r w:rsidR="00424CD5" w:rsidRPr="00BD04D7">
        <w:rPr>
          <w:i/>
          <w:iCs/>
        </w:rPr>
        <w:t>(</w:t>
      </w:r>
      <w:proofErr w:type="spellStart"/>
      <w:r w:rsidR="004971E1" w:rsidRPr="00BD04D7">
        <w:rPr>
          <w:i/>
          <w:iCs/>
        </w:rPr>
        <w:t>Hlavac</w:t>
      </w:r>
      <w:proofErr w:type="spellEnd"/>
      <w:r w:rsidR="004971E1" w:rsidRPr="00BD04D7">
        <w:rPr>
          <w:i/>
          <w:iCs/>
        </w:rPr>
        <w:t xml:space="preserve"> 2022</w:t>
      </w:r>
      <w:r w:rsidR="00424CD5" w:rsidRPr="00BD04D7">
        <w:rPr>
          <w:i/>
          <w:iCs/>
        </w:rPr>
        <w:t>)</w:t>
      </w:r>
      <w:r w:rsidR="00827373">
        <w:rPr>
          <w:i/>
          <w:iCs/>
        </w:rPr>
        <w:t>; {calibrate} (</w:t>
      </w:r>
      <w:proofErr w:type="spellStart"/>
      <w:r w:rsidR="00827373">
        <w:rPr>
          <w:i/>
          <w:iCs/>
        </w:rPr>
        <w:t>Graffelman</w:t>
      </w:r>
      <w:proofErr w:type="spellEnd"/>
      <w:r w:rsidR="00827373">
        <w:rPr>
          <w:i/>
          <w:iCs/>
        </w:rPr>
        <w:t xml:space="preserve"> and Van </w:t>
      </w:r>
      <w:proofErr w:type="spellStart"/>
      <w:r w:rsidR="00827373">
        <w:rPr>
          <w:i/>
          <w:iCs/>
        </w:rPr>
        <w:t>Eeuwijk</w:t>
      </w:r>
      <w:proofErr w:type="spellEnd"/>
      <w:r w:rsidR="00827373">
        <w:rPr>
          <w:i/>
          <w:iCs/>
        </w:rPr>
        <w:t xml:space="preserve"> 2005) used on plots.</w:t>
      </w:r>
    </w:p>
    <w:sectPr w:rsidR="00424CD5" w:rsidRPr="00BD04D7" w:rsidSect="00402F09">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8380" w14:textId="77777777" w:rsidR="0056428F" w:rsidRDefault="0056428F" w:rsidP="00032BD9">
      <w:r>
        <w:separator/>
      </w:r>
    </w:p>
  </w:endnote>
  <w:endnote w:type="continuationSeparator" w:id="0">
    <w:p w14:paraId="03AE4B75" w14:textId="77777777" w:rsidR="0056428F" w:rsidRDefault="0056428F" w:rsidP="0003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60860"/>
      <w:docPartObj>
        <w:docPartGallery w:val="Page Numbers (Bottom of Page)"/>
        <w:docPartUnique/>
      </w:docPartObj>
    </w:sdtPr>
    <w:sdtEndPr>
      <w:rPr>
        <w:noProof/>
      </w:rPr>
    </w:sdtEndPr>
    <w:sdtContent>
      <w:p w14:paraId="3EA12F76" w14:textId="77777777" w:rsidR="002208EC" w:rsidRDefault="002208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A68959" w14:textId="77777777" w:rsidR="002208EC" w:rsidRDefault="00220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B6E5" w14:textId="77777777" w:rsidR="0056428F" w:rsidRDefault="0056428F" w:rsidP="00032BD9">
      <w:r>
        <w:separator/>
      </w:r>
    </w:p>
  </w:footnote>
  <w:footnote w:type="continuationSeparator" w:id="0">
    <w:p w14:paraId="0697E2BA" w14:textId="77777777" w:rsidR="0056428F" w:rsidRDefault="0056428F" w:rsidP="00032BD9">
      <w:r>
        <w:continuationSeparator/>
      </w:r>
    </w:p>
  </w:footnote>
  <w:footnote w:id="1">
    <w:p w14:paraId="325D29F6" w14:textId="614AB7C0" w:rsidR="00F2061F" w:rsidRDefault="00F2061F">
      <w:pPr>
        <w:pStyle w:val="FootnoteText"/>
      </w:pPr>
      <w:r>
        <w:rPr>
          <w:rStyle w:val="FootnoteReference"/>
        </w:rPr>
        <w:footnoteRef/>
      </w:r>
      <w:r>
        <w:t xml:space="preserve"> While a large body of research has studied the factors of the duration of civil wars, we know little about the persistence of rebel actors themselves other than how long they persist in their violent action against the government. Since violent activity against the state is a choice, made out of other potential strategies, then we need to know the persistence of rebel organizations as organizations, as well as the persistence of potential rebels who pursued their claims against the government without violence.</w:t>
      </w:r>
    </w:p>
  </w:footnote>
  <w:footnote w:id="2">
    <w:p w14:paraId="50D670EC" w14:textId="4332C6CB" w:rsidR="00EB764E" w:rsidRDefault="00EB764E">
      <w:pPr>
        <w:pStyle w:val="FootnoteText"/>
      </w:pPr>
      <w:r>
        <w:rPr>
          <w:rStyle w:val="FootnoteReference"/>
        </w:rPr>
        <w:footnoteRef/>
      </w:r>
      <w:r>
        <w:t xml:space="preserve"> </w:t>
      </w:r>
      <w:r w:rsidRPr="00157D9D">
        <w:rPr>
          <w:lang w:bidi="ar-JO"/>
        </w:rPr>
        <w:t xml:space="preserve">I assume that the decision to participate in </w:t>
      </w:r>
      <w:r w:rsidR="005413BF">
        <w:rPr>
          <w:lang w:bidi="ar-JO"/>
        </w:rPr>
        <w:t>an organization’s political</w:t>
      </w:r>
      <w:r w:rsidRPr="00157D9D">
        <w:rPr>
          <w:lang w:bidi="ar-JO"/>
        </w:rPr>
        <w:t xml:space="preserve"> activities </w:t>
      </w:r>
      <w:r w:rsidR="005413BF">
        <w:rPr>
          <w:lang w:bidi="ar-JO"/>
        </w:rPr>
        <w:t xml:space="preserve">is </w:t>
      </w:r>
      <w:r w:rsidRPr="00157D9D">
        <w:rPr>
          <w:lang w:bidi="ar-JO"/>
        </w:rPr>
        <w:t xml:space="preserve">a rational choice by each constituent. </w:t>
      </w:r>
      <w:r>
        <w:rPr>
          <w:rStyle w:val="CommentReference"/>
        </w:rPr>
        <w:t/>
      </w:r>
      <w:r w:rsidR="005413BF">
        <w:rPr>
          <w:lang w:bidi="ar-JO"/>
        </w:rPr>
        <w:t xml:space="preserve">While the </w:t>
      </w:r>
      <w:r>
        <w:rPr>
          <w:lang w:bidi="ar-JO"/>
        </w:rPr>
        <w:t>responsiveness and repression of the government</w:t>
      </w:r>
      <w:r w:rsidR="005413BF">
        <w:rPr>
          <w:lang w:bidi="ar-JO"/>
        </w:rPr>
        <w:t xml:space="preserve"> determines many of the costs and benefits of participation</w:t>
      </w:r>
      <w:r w:rsidR="003744AF">
        <w:rPr>
          <w:lang w:bidi="ar-JO"/>
        </w:rPr>
        <w:t xml:space="preserve"> (</w:t>
      </w:r>
      <w:proofErr w:type="spellStart"/>
      <w:r w:rsidR="003744AF">
        <w:t>DeNardo</w:t>
      </w:r>
      <w:proofErr w:type="spellEnd"/>
      <w:r w:rsidR="003744AF">
        <w:t xml:space="preserve"> 1985, 190-2)</w:t>
      </w:r>
      <w:r w:rsidR="005413BF">
        <w:rPr>
          <w:lang w:bidi="ar-JO"/>
        </w:rPr>
        <w:t xml:space="preserve">, </w:t>
      </w:r>
      <w:r>
        <w:rPr>
          <w:lang w:bidi="ar-JO"/>
        </w:rPr>
        <w:t xml:space="preserve">the organization </w:t>
      </w:r>
      <w:r w:rsidR="005413BF">
        <w:rPr>
          <w:lang w:bidi="ar-JO"/>
        </w:rPr>
        <w:t xml:space="preserve">still </w:t>
      </w:r>
      <w:r>
        <w:rPr>
          <w:lang w:bidi="ar-JO"/>
        </w:rPr>
        <w:t xml:space="preserve">has influence over </w:t>
      </w:r>
      <w:r w:rsidR="005413BF">
        <w:rPr>
          <w:lang w:bidi="ar-JO"/>
        </w:rPr>
        <w:t xml:space="preserve">other </w:t>
      </w:r>
      <w:r>
        <w:rPr>
          <w:lang w:bidi="ar-JO"/>
        </w:rPr>
        <w:t>costs and benefits.</w:t>
      </w:r>
    </w:p>
  </w:footnote>
  <w:footnote w:id="3">
    <w:p w14:paraId="18955C1F" w14:textId="443A99E9" w:rsidR="00426F5D" w:rsidRDefault="00426F5D" w:rsidP="00426F5D">
      <w:pPr>
        <w:pStyle w:val="FootnoteText"/>
      </w:pPr>
      <w:r>
        <w:rPr>
          <w:rStyle w:val="FootnoteReference"/>
        </w:rPr>
        <w:footnoteRef/>
      </w:r>
      <w:r>
        <w:t xml:space="preserve"> This differential effect of religion has been demonstrated quantitatively in for American electoral politics (</w:t>
      </w:r>
      <w:proofErr w:type="spellStart"/>
      <w:r w:rsidR="00C62371">
        <w:t>Calfano</w:t>
      </w:r>
      <w:proofErr w:type="spellEnd"/>
      <w:r w:rsidR="00C62371">
        <w:t xml:space="preserve"> and </w:t>
      </w:r>
      <w:proofErr w:type="spellStart"/>
      <w:r w:rsidR="00C62371">
        <w:t>Djupe</w:t>
      </w:r>
      <w:proofErr w:type="spellEnd"/>
      <w:r w:rsidR="00C62371">
        <w:t xml:space="preserve"> 2009; </w:t>
      </w:r>
      <w:r>
        <w:t>Jennings 2016).</w:t>
      </w:r>
    </w:p>
  </w:footnote>
  <w:footnote w:id="4">
    <w:p w14:paraId="161F17C4" w14:textId="2953E6AE" w:rsidR="00C27C3A" w:rsidRDefault="00C27C3A" w:rsidP="00C27C3A">
      <w:pPr>
        <w:pStyle w:val="FootnoteText"/>
      </w:pPr>
      <w:r>
        <w:rPr>
          <w:rStyle w:val="FootnoteReference"/>
        </w:rPr>
        <w:footnoteRef/>
      </w:r>
      <w:r>
        <w:t xml:space="preserve"> Note: Observed means the predicted probability was calculated with that variable set to the values observed in the data. Statistical analysis performed in R (R Core Team 2022); predicted probabilities calculated with the {</w:t>
      </w:r>
      <w:proofErr w:type="spellStart"/>
      <w:r>
        <w:t>DAMisc</w:t>
      </w:r>
      <w:proofErr w:type="spellEnd"/>
      <w:r>
        <w:t>} package (Armstrong 2022); tables created with {stargazer} (</w:t>
      </w:r>
      <w:proofErr w:type="spellStart"/>
      <w:r>
        <w:t>Hlavac</w:t>
      </w:r>
      <w:proofErr w:type="spellEnd"/>
      <w:r>
        <w:t xml:space="preserve"> 2022); {calibrate} (</w:t>
      </w:r>
      <w:proofErr w:type="spellStart"/>
      <w:r>
        <w:t>Graffelman</w:t>
      </w:r>
      <w:proofErr w:type="spellEnd"/>
      <w:r>
        <w:t xml:space="preserve"> and Van </w:t>
      </w:r>
      <w:proofErr w:type="spellStart"/>
      <w:r>
        <w:t>Eeuwijk</w:t>
      </w:r>
      <w:proofErr w:type="spellEnd"/>
      <w:r>
        <w:t xml:space="preserve"> 2005) used on plots.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8376" w14:textId="7FF36652" w:rsidR="002208EC" w:rsidRDefault="002208EC" w:rsidP="006F2A7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C2E"/>
    <w:multiLevelType w:val="hybridMultilevel"/>
    <w:tmpl w:val="A3B4B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C0D95"/>
    <w:multiLevelType w:val="hybridMultilevel"/>
    <w:tmpl w:val="9BE2B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B6CFB"/>
    <w:multiLevelType w:val="hybridMultilevel"/>
    <w:tmpl w:val="2E3C0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5073B"/>
    <w:multiLevelType w:val="hybridMultilevel"/>
    <w:tmpl w:val="37A6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890961">
    <w:abstractNumId w:val="2"/>
  </w:num>
  <w:num w:numId="2" w16cid:durableId="1286934766">
    <w:abstractNumId w:val="1"/>
  </w:num>
  <w:num w:numId="3" w16cid:durableId="574827592">
    <w:abstractNumId w:val="0"/>
  </w:num>
  <w:num w:numId="4" w16cid:durableId="964890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D9"/>
    <w:rsid w:val="00000494"/>
    <w:rsid w:val="00003512"/>
    <w:rsid w:val="000039C4"/>
    <w:rsid w:val="00007D79"/>
    <w:rsid w:val="00010431"/>
    <w:rsid w:val="0001181D"/>
    <w:rsid w:val="00011B03"/>
    <w:rsid w:val="00014081"/>
    <w:rsid w:val="00015076"/>
    <w:rsid w:val="00015EC9"/>
    <w:rsid w:val="0001768A"/>
    <w:rsid w:val="00021F17"/>
    <w:rsid w:val="00027ABB"/>
    <w:rsid w:val="00032BD2"/>
    <w:rsid w:val="00032BD9"/>
    <w:rsid w:val="00040872"/>
    <w:rsid w:val="000459AF"/>
    <w:rsid w:val="00045FEA"/>
    <w:rsid w:val="00046418"/>
    <w:rsid w:val="000519A7"/>
    <w:rsid w:val="00051EDF"/>
    <w:rsid w:val="00052911"/>
    <w:rsid w:val="00053819"/>
    <w:rsid w:val="00055F4F"/>
    <w:rsid w:val="000659DA"/>
    <w:rsid w:val="00066DC5"/>
    <w:rsid w:val="00071F34"/>
    <w:rsid w:val="00072523"/>
    <w:rsid w:val="000744AC"/>
    <w:rsid w:val="00077423"/>
    <w:rsid w:val="00084DF9"/>
    <w:rsid w:val="00087ACD"/>
    <w:rsid w:val="0009010F"/>
    <w:rsid w:val="000905DF"/>
    <w:rsid w:val="000910E9"/>
    <w:rsid w:val="00094F2A"/>
    <w:rsid w:val="000965BD"/>
    <w:rsid w:val="000A0494"/>
    <w:rsid w:val="000A150C"/>
    <w:rsid w:val="000A1821"/>
    <w:rsid w:val="000A5130"/>
    <w:rsid w:val="000A5685"/>
    <w:rsid w:val="000A56B8"/>
    <w:rsid w:val="000A5D57"/>
    <w:rsid w:val="000A6290"/>
    <w:rsid w:val="000A73A3"/>
    <w:rsid w:val="000A7AB6"/>
    <w:rsid w:val="000A7CFA"/>
    <w:rsid w:val="000B2B2D"/>
    <w:rsid w:val="000B3369"/>
    <w:rsid w:val="000B60A4"/>
    <w:rsid w:val="000C1826"/>
    <w:rsid w:val="000C25ED"/>
    <w:rsid w:val="000C5990"/>
    <w:rsid w:val="000D4577"/>
    <w:rsid w:val="000D520B"/>
    <w:rsid w:val="000D5785"/>
    <w:rsid w:val="000D7A76"/>
    <w:rsid w:val="000E4097"/>
    <w:rsid w:val="000E73A3"/>
    <w:rsid w:val="000F00DB"/>
    <w:rsid w:val="000F1885"/>
    <w:rsid w:val="000F38C1"/>
    <w:rsid w:val="000F43AB"/>
    <w:rsid w:val="000F473D"/>
    <w:rsid w:val="000F5BA0"/>
    <w:rsid w:val="000F69CA"/>
    <w:rsid w:val="00104EFA"/>
    <w:rsid w:val="0010749F"/>
    <w:rsid w:val="00107DB2"/>
    <w:rsid w:val="001109C1"/>
    <w:rsid w:val="001117EA"/>
    <w:rsid w:val="0011366A"/>
    <w:rsid w:val="00113ADA"/>
    <w:rsid w:val="00115872"/>
    <w:rsid w:val="00115FCD"/>
    <w:rsid w:val="00116CFC"/>
    <w:rsid w:val="001176C2"/>
    <w:rsid w:val="00121371"/>
    <w:rsid w:val="00122DF2"/>
    <w:rsid w:val="001244CF"/>
    <w:rsid w:val="00124FD6"/>
    <w:rsid w:val="00126057"/>
    <w:rsid w:val="0012794C"/>
    <w:rsid w:val="001338A3"/>
    <w:rsid w:val="00136CC0"/>
    <w:rsid w:val="00140546"/>
    <w:rsid w:val="001524D3"/>
    <w:rsid w:val="00153580"/>
    <w:rsid w:val="00153A4D"/>
    <w:rsid w:val="0015436F"/>
    <w:rsid w:val="001549F9"/>
    <w:rsid w:val="00155A1A"/>
    <w:rsid w:val="00155EEA"/>
    <w:rsid w:val="0015642A"/>
    <w:rsid w:val="00157994"/>
    <w:rsid w:val="00165C48"/>
    <w:rsid w:val="00166804"/>
    <w:rsid w:val="001758C4"/>
    <w:rsid w:val="00175FC5"/>
    <w:rsid w:val="00176E7C"/>
    <w:rsid w:val="00182587"/>
    <w:rsid w:val="00183AD8"/>
    <w:rsid w:val="0019103D"/>
    <w:rsid w:val="00193A22"/>
    <w:rsid w:val="00193AC2"/>
    <w:rsid w:val="00194237"/>
    <w:rsid w:val="00197794"/>
    <w:rsid w:val="001A01A5"/>
    <w:rsid w:val="001A1AB7"/>
    <w:rsid w:val="001A2684"/>
    <w:rsid w:val="001A4650"/>
    <w:rsid w:val="001A53F9"/>
    <w:rsid w:val="001A685B"/>
    <w:rsid w:val="001A737D"/>
    <w:rsid w:val="001A745C"/>
    <w:rsid w:val="001B115F"/>
    <w:rsid w:val="001B27A4"/>
    <w:rsid w:val="001B4C54"/>
    <w:rsid w:val="001B6EEB"/>
    <w:rsid w:val="001C067D"/>
    <w:rsid w:val="001C187D"/>
    <w:rsid w:val="001C6A02"/>
    <w:rsid w:val="001C6E11"/>
    <w:rsid w:val="001C7140"/>
    <w:rsid w:val="001D3F0B"/>
    <w:rsid w:val="001D5EEE"/>
    <w:rsid w:val="001D7CAB"/>
    <w:rsid w:val="001E0111"/>
    <w:rsid w:val="001E0F63"/>
    <w:rsid w:val="001F00FF"/>
    <w:rsid w:val="001F1E9A"/>
    <w:rsid w:val="001F2A03"/>
    <w:rsid w:val="001F37ED"/>
    <w:rsid w:val="001F7B7B"/>
    <w:rsid w:val="00200F2D"/>
    <w:rsid w:val="00201071"/>
    <w:rsid w:val="0020306E"/>
    <w:rsid w:val="00203096"/>
    <w:rsid w:val="002140E1"/>
    <w:rsid w:val="00220045"/>
    <w:rsid w:val="002208EC"/>
    <w:rsid w:val="0022311E"/>
    <w:rsid w:val="00226811"/>
    <w:rsid w:val="00227BC1"/>
    <w:rsid w:val="0023117E"/>
    <w:rsid w:val="0023173C"/>
    <w:rsid w:val="00233819"/>
    <w:rsid w:val="00234356"/>
    <w:rsid w:val="002353D2"/>
    <w:rsid w:val="002373B5"/>
    <w:rsid w:val="002401E8"/>
    <w:rsid w:val="00243285"/>
    <w:rsid w:val="00244FB0"/>
    <w:rsid w:val="0024502E"/>
    <w:rsid w:val="00245B1F"/>
    <w:rsid w:val="00245FD3"/>
    <w:rsid w:val="0024715E"/>
    <w:rsid w:val="0025279B"/>
    <w:rsid w:val="00256048"/>
    <w:rsid w:val="00262818"/>
    <w:rsid w:val="00263EDC"/>
    <w:rsid w:val="00264F45"/>
    <w:rsid w:val="00265BDC"/>
    <w:rsid w:val="00271018"/>
    <w:rsid w:val="00271380"/>
    <w:rsid w:val="002719C9"/>
    <w:rsid w:val="00272DFF"/>
    <w:rsid w:val="002731FA"/>
    <w:rsid w:val="0027379C"/>
    <w:rsid w:val="00275AC2"/>
    <w:rsid w:val="0027608B"/>
    <w:rsid w:val="0028156A"/>
    <w:rsid w:val="002819FA"/>
    <w:rsid w:val="00282097"/>
    <w:rsid w:val="0028219D"/>
    <w:rsid w:val="00284FD4"/>
    <w:rsid w:val="0028696D"/>
    <w:rsid w:val="00291972"/>
    <w:rsid w:val="00292DEC"/>
    <w:rsid w:val="002966B3"/>
    <w:rsid w:val="0029726D"/>
    <w:rsid w:val="00297804"/>
    <w:rsid w:val="00297A51"/>
    <w:rsid w:val="002A1665"/>
    <w:rsid w:val="002A1C6D"/>
    <w:rsid w:val="002A2077"/>
    <w:rsid w:val="002A617E"/>
    <w:rsid w:val="002A72DB"/>
    <w:rsid w:val="002A7F79"/>
    <w:rsid w:val="002C189F"/>
    <w:rsid w:val="002C3040"/>
    <w:rsid w:val="002C3338"/>
    <w:rsid w:val="002C35B6"/>
    <w:rsid w:val="002C6F7D"/>
    <w:rsid w:val="002D03AB"/>
    <w:rsid w:val="002D0673"/>
    <w:rsid w:val="002D0B9A"/>
    <w:rsid w:val="002D708F"/>
    <w:rsid w:val="002D7237"/>
    <w:rsid w:val="002D7926"/>
    <w:rsid w:val="002E25EE"/>
    <w:rsid w:val="002E26BE"/>
    <w:rsid w:val="002E29AB"/>
    <w:rsid w:val="002E505A"/>
    <w:rsid w:val="002E6A07"/>
    <w:rsid w:val="002F2C63"/>
    <w:rsid w:val="002F58FE"/>
    <w:rsid w:val="002F777B"/>
    <w:rsid w:val="00300B0B"/>
    <w:rsid w:val="0030130A"/>
    <w:rsid w:val="003030CD"/>
    <w:rsid w:val="00303A3F"/>
    <w:rsid w:val="00306840"/>
    <w:rsid w:val="00307335"/>
    <w:rsid w:val="0031404B"/>
    <w:rsid w:val="00314C18"/>
    <w:rsid w:val="00317727"/>
    <w:rsid w:val="00326084"/>
    <w:rsid w:val="003263EE"/>
    <w:rsid w:val="00331928"/>
    <w:rsid w:val="00331D90"/>
    <w:rsid w:val="00334B56"/>
    <w:rsid w:val="003407F2"/>
    <w:rsid w:val="00345206"/>
    <w:rsid w:val="00345961"/>
    <w:rsid w:val="003478C9"/>
    <w:rsid w:val="003507FF"/>
    <w:rsid w:val="00351DE0"/>
    <w:rsid w:val="0035391F"/>
    <w:rsid w:val="00355AD2"/>
    <w:rsid w:val="00362280"/>
    <w:rsid w:val="003639ED"/>
    <w:rsid w:val="003651F4"/>
    <w:rsid w:val="00373298"/>
    <w:rsid w:val="003738EE"/>
    <w:rsid w:val="00373FE5"/>
    <w:rsid w:val="00374180"/>
    <w:rsid w:val="003744AF"/>
    <w:rsid w:val="00374863"/>
    <w:rsid w:val="00377E99"/>
    <w:rsid w:val="00377FFA"/>
    <w:rsid w:val="00380983"/>
    <w:rsid w:val="003821DA"/>
    <w:rsid w:val="00383389"/>
    <w:rsid w:val="00383B21"/>
    <w:rsid w:val="00384729"/>
    <w:rsid w:val="003847B7"/>
    <w:rsid w:val="00386EFC"/>
    <w:rsid w:val="00387694"/>
    <w:rsid w:val="00390994"/>
    <w:rsid w:val="0039206D"/>
    <w:rsid w:val="003943FA"/>
    <w:rsid w:val="003A1551"/>
    <w:rsid w:val="003A1C0C"/>
    <w:rsid w:val="003A2767"/>
    <w:rsid w:val="003A5861"/>
    <w:rsid w:val="003A6CD5"/>
    <w:rsid w:val="003A772C"/>
    <w:rsid w:val="003B1AD6"/>
    <w:rsid w:val="003B2CA7"/>
    <w:rsid w:val="003B396F"/>
    <w:rsid w:val="003B6369"/>
    <w:rsid w:val="003B65B5"/>
    <w:rsid w:val="003C1A99"/>
    <w:rsid w:val="003C248A"/>
    <w:rsid w:val="003C46A5"/>
    <w:rsid w:val="003C5BE7"/>
    <w:rsid w:val="003D5CBC"/>
    <w:rsid w:val="003D74FB"/>
    <w:rsid w:val="003E01C7"/>
    <w:rsid w:val="003E14BA"/>
    <w:rsid w:val="003E2AD6"/>
    <w:rsid w:val="003E611B"/>
    <w:rsid w:val="003F1244"/>
    <w:rsid w:val="003F17FC"/>
    <w:rsid w:val="003F3C2F"/>
    <w:rsid w:val="003F5744"/>
    <w:rsid w:val="003F5C87"/>
    <w:rsid w:val="00402424"/>
    <w:rsid w:val="004026FC"/>
    <w:rsid w:val="00402F09"/>
    <w:rsid w:val="004070BD"/>
    <w:rsid w:val="00407C82"/>
    <w:rsid w:val="00410F05"/>
    <w:rsid w:val="0041229F"/>
    <w:rsid w:val="00412438"/>
    <w:rsid w:val="0041297F"/>
    <w:rsid w:val="00413CC1"/>
    <w:rsid w:val="0041424E"/>
    <w:rsid w:val="004146F4"/>
    <w:rsid w:val="00416723"/>
    <w:rsid w:val="004177A6"/>
    <w:rsid w:val="0041780D"/>
    <w:rsid w:val="0042099F"/>
    <w:rsid w:val="00421774"/>
    <w:rsid w:val="004242B3"/>
    <w:rsid w:val="00424CD5"/>
    <w:rsid w:val="00425951"/>
    <w:rsid w:val="0042605F"/>
    <w:rsid w:val="00426F5D"/>
    <w:rsid w:val="004302AD"/>
    <w:rsid w:val="0043224F"/>
    <w:rsid w:val="0043246C"/>
    <w:rsid w:val="004324E0"/>
    <w:rsid w:val="00433C02"/>
    <w:rsid w:val="00434C10"/>
    <w:rsid w:val="004358BE"/>
    <w:rsid w:val="00436238"/>
    <w:rsid w:val="00441CA9"/>
    <w:rsid w:val="004423F2"/>
    <w:rsid w:val="00444230"/>
    <w:rsid w:val="004442E3"/>
    <w:rsid w:val="004463A5"/>
    <w:rsid w:val="0044693E"/>
    <w:rsid w:val="00450960"/>
    <w:rsid w:val="00452F30"/>
    <w:rsid w:val="004546DD"/>
    <w:rsid w:val="00456B8E"/>
    <w:rsid w:val="00461BA8"/>
    <w:rsid w:val="00461BBC"/>
    <w:rsid w:val="00462B3B"/>
    <w:rsid w:val="0046458C"/>
    <w:rsid w:val="0046498D"/>
    <w:rsid w:val="00466D4A"/>
    <w:rsid w:val="00472534"/>
    <w:rsid w:val="00472B75"/>
    <w:rsid w:val="004733D2"/>
    <w:rsid w:val="00474D45"/>
    <w:rsid w:val="00476322"/>
    <w:rsid w:val="004773CB"/>
    <w:rsid w:val="004806A0"/>
    <w:rsid w:val="004836E9"/>
    <w:rsid w:val="00485E3F"/>
    <w:rsid w:val="00490FA8"/>
    <w:rsid w:val="00491EA5"/>
    <w:rsid w:val="00493F5F"/>
    <w:rsid w:val="0049504C"/>
    <w:rsid w:val="00495124"/>
    <w:rsid w:val="004971E1"/>
    <w:rsid w:val="00497FFC"/>
    <w:rsid w:val="004A028A"/>
    <w:rsid w:val="004A1CBD"/>
    <w:rsid w:val="004B6463"/>
    <w:rsid w:val="004C43D0"/>
    <w:rsid w:val="004C5F6F"/>
    <w:rsid w:val="004C63B8"/>
    <w:rsid w:val="004C6898"/>
    <w:rsid w:val="004D18C5"/>
    <w:rsid w:val="004D3D5E"/>
    <w:rsid w:val="004D3E92"/>
    <w:rsid w:val="004D46D2"/>
    <w:rsid w:val="004D6592"/>
    <w:rsid w:val="004D6EF6"/>
    <w:rsid w:val="004D7AAD"/>
    <w:rsid w:val="004E4FBF"/>
    <w:rsid w:val="004E7E3D"/>
    <w:rsid w:val="004F1BAF"/>
    <w:rsid w:val="004F3EEB"/>
    <w:rsid w:val="004F4C24"/>
    <w:rsid w:val="004F5066"/>
    <w:rsid w:val="004F52CA"/>
    <w:rsid w:val="004F5AE2"/>
    <w:rsid w:val="00501954"/>
    <w:rsid w:val="00504BF0"/>
    <w:rsid w:val="00505138"/>
    <w:rsid w:val="00505C5A"/>
    <w:rsid w:val="00506790"/>
    <w:rsid w:val="00506818"/>
    <w:rsid w:val="005112D9"/>
    <w:rsid w:val="0051280D"/>
    <w:rsid w:val="00513657"/>
    <w:rsid w:val="00514003"/>
    <w:rsid w:val="0052089D"/>
    <w:rsid w:val="00520D52"/>
    <w:rsid w:val="00522392"/>
    <w:rsid w:val="00523888"/>
    <w:rsid w:val="00524339"/>
    <w:rsid w:val="00525B3F"/>
    <w:rsid w:val="00531CA5"/>
    <w:rsid w:val="005337F3"/>
    <w:rsid w:val="00533A00"/>
    <w:rsid w:val="00537554"/>
    <w:rsid w:val="005413BF"/>
    <w:rsid w:val="0054231E"/>
    <w:rsid w:val="0054706C"/>
    <w:rsid w:val="0054747E"/>
    <w:rsid w:val="0055235E"/>
    <w:rsid w:val="005524A9"/>
    <w:rsid w:val="00554D9B"/>
    <w:rsid w:val="005561D3"/>
    <w:rsid w:val="005567C8"/>
    <w:rsid w:val="0056013E"/>
    <w:rsid w:val="005607DD"/>
    <w:rsid w:val="00561767"/>
    <w:rsid w:val="005624AE"/>
    <w:rsid w:val="00562B84"/>
    <w:rsid w:val="0056383D"/>
    <w:rsid w:val="00563DB5"/>
    <w:rsid w:val="0056428F"/>
    <w:rsid w:val="00566DB5"/>
    <w:rsid w:val="00567186"/>
    <w:rsid w:val="00571EDE"/>
    <w:rsid w:val="00572ACF"/>
    <w:rsid w:val="00573488"/>
    <w:rsid w:val="005734C0"/>
    <w:rsid w:val="005748DF"/>
    <w:rsid w:val="00575FE1"/>
    <w:rsid w:val="00576B3F"/>
    <w:rsid w:val="00577140"/>
    <w:rsid w:val="00581985"/>
    <w:rsid w:val="00582E35"/>
    <w:rsid w:val="00583BD6"/>
    <w:rsid w:val="00584A5A"/>
    <w:rsid w:val="005921A2"/>
    <w:rsid w:val="00592EDD"/>
    <w:rsid w:val="005931A1"/>
    <w:rsid w:val="00594856"/>
    <w:rsid w:val="00596004"/>
    <w:rsid w:val="00596F1A"/>
    <w:rsid w:val="005A0142"/>
    <w:rsid w:val="005A07BE"/>
    <w:rsid w:val="005A5697"/>
    <w:rsid w:val="005A5DF6"/>
    <w:rsid w:val="005A738E"/>
    <w:rsid w:val="005A785D"/>
    <w:rsid w:val="005B0C46"/>
    <w:rsid w:val="005B2FC3"/>
    <w:rsid w:val="005B3DDE"/>
    <w:rsid w:val="005B6834"/>
    <w:rsid w:val="005C2FD9"/>
    <w:rsid w:val="005C5699"/>
    <w:rsid w:val="005C5AA6"/>
    <w:rsid w:val="005D032A"/>
    <w:rsid w:val="005D7B9D"/>
    <w:rsid w:val="005E19B7"/>
    <w:rsid w:val="005E3E45"/>
    <w:rsid w:val="005F0504"/>
    <w:rsid w:val="005F2198"/>
    <w:rsid w:val="005F271E"/>
    <w:rsid w:val="005F5ED3"/>
    <w:rsid w:val="005F6AEC"/>
    <w:rsid w:val="0060526C"/>
    <w:rsid w:val="006066F3"/>
    <w:rsid w:val="006078FC"/>
    <w:rsid w:val="00607902"/>
    <w:rsid w:val="00610C63"/>
    <w:rsid w:val="00612C2E"/>
    <w:rsid w:val="00613721"/>
    <w:rsid w:val="00614CE4"/>
    <w:rsid w:val="00615274"/>
    <w:rsid w:val="00615540"/>
    <w:rsid w:val="00616E17"/>
    <w:rsid w:val="0062030A"/>
    <w:rsid w:val="0062114C"/>
    <w:rsid w:val="0062296A"/>
    <w:rsid w:val="006229D9"/>
    <w:rsid w:val="00623C56"/>
    <w:rsid w:val="00625099"/>
    <w:rsid w:val="006257D2"/>
    <w:rsid w:val="00626F04"/>
    <w:rsid w:val="00631383"/>
    <w:rsid w:val="00631CEC"/>
    <w:rsid w:val="00631E1C"/>
    <w:rsid w:val="00632E93"/>
    <w:rsid w:val="00634DF7"/>
    <w:rsid w:val="00635F52"/>
    <w:rsid w:val="00636E2B"/>
    <w:rsid w:val="00640685"/>
    <w:rsid w:val="006406CD"/>
    <w:rsid w:val="006413A9"/>
    <w:rsid w:val="006435EB"/>
    <w:rsid w:val="00644BCE"/>
    <w:rsid w:val="00644C6E"/>
    <w:rsid w:val="00645661"/>
    <w:rsid w:val="006462A9"/>
    <w:rsid w:val="00647844"/>
    <w:rsid w:val="006512C5"/>
    <w:rsid w:val="006517A9"/>
    <w:rsid w:val="00651B94"/>
    <w:rsid w:val="00653822"/>
    <w:rsid w:val="00654111"/>
    <w:rsid w:val="006543AD"/>
    <w:rsid w:val="006573EB"/>
    <w:rsid w:val="0066025D"/>
    <w:rsid w:val="0066047D"/>
    <w:rsid w:val="00662353"/>
    <w:rsid w:val="00662BB4"/>
    <w:rsid w:val="0067423E"/>
    <w:rsid w:val="006749F1"/>
    <w:rsid w:val="006776CC"/>
    <w:rsid w:val="0068284E"/>
    <w:rsid w:val="00682EC4"/>
    <w:rsid w:val="00684BF7"/>
    <w:rsid w:val="00685580"/>
    <w:rsid w:val="00686880"/>
    <w:rsid w:val="0069108E"/>
    <w:rsid w:val="00691E19"/>
    <w:rsid w:val="00692E8F"/>
    <w:rsid w:val="006A20C9"/>
    <w:rsid w:val="006A2574"/>
    <w:rsid w:val="006A3943"/>
    <w:rsid w:val="006A77A7"/>
    <w:rsid w:val="006A78CB"/>
    <w:rsid w:val="006B3511"/>
    <w:rsid w:val="006B3C4D"/>
    <w:rsid w:val="006B6A15"/>
    <w:rsid w:val="006C1F5E"/>
    <w:rsid w:val="006C78C8"/>
    <w:rsid w:val="006D1B74"/>
    <w:rsid w:val="006D1C21"/>
    <w:rsid w:val="006D25C0"/>
    <w:rsid w:val="006D5860"/>
    <w:rsid w:val="006E2F57"/>
    <w:rsid w:val="006E3FA6"/>
    <w:rsid w:val="006E531C"/>
    <w:rsid w:val="006F0D5B"/>
    <w:rsid w:val="006F1187"/>
    <w:rsid w:val="006F2A7F"/>
    <w:rsid w:val="006F5607"/>
    <w:rsid w:val="0070032A"/>
    <w:rsid w:val="007005D3"/>
    <w:rsid w:val="00701C99"/>
    <w:rsid w:val="00702BD4"/>
    <w:rsid w:val="00706C2F"/>
    <w:rsid w:val="0070796E"/>
    <w:rsid w:val="00707B07"/>
    <w:rsid w:val="00710DF0"/>
    <w:rsid w:val="0071241C"/>
    <w:rsid w:val="00716766"/>
    <w:rsid w:val="007236DE"/>
    <w:rsid w:val="0072515C"/>
    <w:rsid w:val="00727082"/>
    <w:rsid w:val="00727692"/>
    <w:rsid w:val="0073281F"/>
    <w:rsid w:val="00732CA0"/>
    <w:rsid w:val="007355B6"/>
    <w:rsid w:val="007404B3"/>
    <w:rsid w:val="007407BF"/>
    <w:rsid w:val="00744719"/>
    <w:rsid w:val="00744FAE"/>
    <w:rsid w:val="007472FB"/>
    <w:rsid w:val="00750DCD"/>
    <w:rsid w:val="00754663"/>
    <w:rsid w:val="00754B37"/>
    <w:rsid w:val="0076578C"/>
    <w:rsid w:val="0076588A"/>
    <w:rsid w:val="00766188"/>
    <w:rsid w:val="007666B7"/>
    <w:rsid w:val="0076705F"/>
    <w:rsid w:val="00767B6F"/>
    <w:rsid w:val="007703D1"/>
    <w:rsid w:val="0077276C"/>
    <w:rsid w:val="00772DA0"/>
    <w:rsid w:val="00776090"/>
    <w:rsid w:val="00776252"/>
    <w:rsid w:val="00781598"/>
    <w:rsid w:val="00785129"/>
    <w:rsid w:val="00785418"/>
    <w:rsid w:val="00785A66"/>
    <w:rsid w:val="007905FA"/>
    <w:rsid w:val="00790E60"/>
    <w:rsid w:val="00790EDB"/>
    <w:rsid w:val="007960BA"/>
    <w:rsid w:val="00796FC9"/>
    <w:rsid w:val="007A4E3B"/>
    <w:rsid w:val="007B0D1E"/>
    <w:rsid w:val="007B1154"/>
    <w:rsid w:val="007B2114"/>
    <w:rsid w:val="007B275F"/>
    <w:rsid w:val="007B3208"/>
    <w:rsid w:val="007B368E"/>
    <w:rsid w:val="007B4DAE"/>
    <w:rsid w:val="007B66D6"/>
    <w:rsid w:val="007C119D"/>
    <w:rsid w:val="007C2F91"/>
    <w:rsid w:val="007C6A6E"/>
    <w:rsid w:val="007D0CC1"/>
    <w:rsid w:val="007D55D9"/>
    <w:rsid w:val="007D5F9D"/>
    <w:rsid w:val="007E0F88"/>
    <w:rsid w:val="007E15FA"/>
    <w:rsid w:val="007E2759"/>
    <w:rsid w:val="007E749C"/>
    <w:rsid w:val="007F243B"/>
    <w:rsid w:val="007F2814"/>
    <w:rsid w:val="007F2B33"/>
    <w:rsid w:val="007F301C"/>
    <w:rsid w:val="007F49F5"/>
    <w:rsid w:val="007F544C"/>
    <w:rsid w:val="007F665B"/>
    <w:rsid w:val="00801BB0"/>
    <w:rsid w:val="00803CBF"/>
    <w:rsid w:val="0080704B"/>
    <w:rsid w:val="00810BFF"/>
    <w:rsid w:val="00811D67"/>
    <w:rsid w:val="008124EF"/>
    <w:rsid w:val="00812A9A"/>
    <w:rsid w:val="00812DBC"/>
    <w:rsid w:val="00813258"/>
    <w:rsid w:val="00813887"/>
    <w:rsid w:val="008168DD"/>
    <w:rsid w:val="00820269"/>
    <w:rsid w:val="0082029F"/>
    <w:rsid w:val="008217E7"/>
    <w:rsid w:val="00822337"/>
    <w:rsid w:val="00822F09"/>
    <w:rsid w:val="0082570F"/>
    <w:rsid w:val="00826DC3"/>
    <w:rsid w:val="00827373"/>
    <w:rsid w:val="00835A6E"/>
    <w:rsid w:val="008407B9"/>
    <w:rsid w:val="00841F68"/>
    <w:rsid w:val="008426C7"/>
    <w:rsid w:val="00843F08"/>
    <w:rsid w:val="00844330"/>
    <w:rsid w:val="0084575D"/>
    <w:rsid w:val="00845B33"/>
    <w:rsid w:val="00850E51"/>
    <w:rsid w:val="00851185"/>
    <w:rsid w:val="0085401D"/>
    <w:rsid w:val="0085489E"/>
    <w:rsid w:val="0085576A"/>
    <w:rsid w:val="00855F0D"/>
    <w:rsid w:val="00855F2E"/>
    <w:rsid w:val="00862ACF"/>
    <w:rsid w:val="0086329A"/>
    <w:rsid w:val="00863B9B"/>
    <w:rsid w:val="00867166"/>
    <w:rsid w:val="00867774"/>
    <w:rsid w:val="0086779A"/>
    <w:rsid w:val="008704DA"/>
    <w:rsid w:val="00870BE0"/>
    <w:rsid w:val="00880978"/>
    <w:rsid w:val="00883F2B"/>
    <w:rsid w:val="00892600"/>
    <w:rsid w:val="00892776"/>
    <w:rsid w:val="00893DFF"/>
    <w:rsid w:val="00895EBA"/>
    <w:rsid w:val="00897CC9"/>
    <w:rsid w:val="008A0892"/>
    <w:rsid w:val="008A1B37"/>
    <w:rsid w:val="008A2B18"/>
    <w:rsid w:val="008A3804"/>
    <w:rsid w:val="008A5085"/>
    <w:rsid w:val="008A76C7"/>
    <w:rsid w:val="008B0116"/>
    <w:rsid w:val="008B0119"/>
    <w:rsid w:val="008B07FE"/>
    <w:rsid w:val="008B1025"/>
    <w:rsid w:val="008B163D"/>
    <w:rsid w:val="008B198E"/>
    <w:rsid w:val="008B2E4F"/>
    <w:rsid w:val="008B4B06"/>
    <w:rsid w:val="008B6A7E"/>
    <w:rsid w:val="008C58DD"/>
    <w:rsid w:val="008C6D02"/>
    <w:rsid w:val="008C7788"/>
    <w:rsid w:val="008D0142"/>
    <w:rsid w:val="008D0ACD"/>
    <w:rsid w:val="008D1443"/>
    <w:rsid w:val="008D1494"/>
    <w:rsid w:val="008D1C34"/>
    <w:rsid w:val="008D60DB"/>
    <w:rsid w:val="008E0839"/>
    <w:rsid w:val="008E0E2F"/>
    <w:rsid w:val="008E1E3F"/>
    <w:rsid w:val="008E57F3"/>
    <w:rsid w:val="008F0A47"/>
    <w:rsid w:val="008F221A"/>
    <w:rsid w:val="008F585F"/>
    <w:rsid w:val="008F6AF2"/>
    <w:rsid w:val="0090214F"/>
    <w:rsid w:val="00904E78"/>
    <w:rsid w:val="00910C88"/>
    <w:rsid w:val="00910FF9"/>
    <w:rsid w:val="00911087"/>
    <w:rsid w:val="009112C8"/>
    <w:rsid w:val="00913CA2"/>
    <w:rsid w:val="00914103"/>
    <w:rsid w:val="009200A5"/>
    <w:rsid w:val="0092351C"/>
    <w:rsid w:val="0093738D"/>
    <w:rsid w:val="00937CC5"/>
    <w:rsid w:val="00940839"/>
    <w:rsid w:val="0094157E"/>
    <w:rsid w:val="00942428"/>
    <w:rsid w:val="00942BB6"/>
    <w:rsid w:val="00945E55"/>
    <w:rsid w:val="009465FB"/>
    <w:rsid w:val="00952629"/>
    <w:rsid w:val="00953F31"/>
    <w:rsid w:val="00954475"/>
    <w:rsid w:val="00955393"/>
    <w:rsid w:val="00957F5F"/>
    <w:rsid w:val="00960E1B"/>
    <w:rsid w:val="009658BC"/>
    <w:rsid w:val="009672AC"/>
    <w:rsid w:val="0097185A"/>
    <w:rsid w:val="00973B1F"/>
    <w:rsid w:val="00973D19"/>
    <w:rsid w:val="009773D0"/>
    <w:rsid w:val="0098586D"/>
    <w:rsid w:val="0098611F"/>
    <w:rsid w:val="00986256"/>
    <w:rsid w:val="00987F61"/>
    <w:rsid w:val="00990760"/>
    <w:rsid w:val="00991A85"/>
    <w:rsid w:val="00994D7F"/>
    <w:rsid w:val="009957C1"/>
    <w:rsid w:val="00995FA3"/>
    <w:rsid w:val="00996D0F"/>
    <w:rsid w:val="009A04AF"/>
    <w:rsid w:val="009A2738"/>
    <w:rsid w:val="009A377E"/>
    <w:rsid w:val="009A3CB5"/>
    <w:rsid w:val="009A5CAD"/>
    <w:rsid w:val="009A62A9"/>
    <w:rsid w:val="009A63C2"/>
    <w:rsid w:val="009A7921"/>
    <w:rsid w:val="009B2CA7"/>
    <w:rsid w:val="009C0E33"/>
    <w:rsid w:val="009C6829"/>
    <w:rsid w:val="009C7293"/>
    <w:rsid w:val="009D1764"/>
    <w:rsid w:val="009D6E27"/>
    <w:rsid w:val="009E66B0"/>
    <w:rsid w:val="009E6DD5"/>
    <w:rsid w:val="009F06D7"/>
    <w:rsid w:val="009F252F"/>
    <w:rsid w:val="009F3A1B"/>
    <w:rsid w:val="009F4575"/>
    <w:rsid w:val="009F5B84"/>
    <w:rsid w:val="009F5BC0"/>
    <w:rsid w:val="009F628A"/>
    <w:rsid w:val="009F71D7"/>
    <w:rsid w:val="009F7355"/>
    <w:rsid w:val="00A01770"/>
    <w:rsid w:val="00A0244C"/>
    <w:rsid w:val="00A031B1"/>
    <w:rsid w:val="00A0717C"/>
    <w:rsid w:val="00A11402"/>
    <w:rsid w:val="00A13C05"/>
    <w:rsid w:val="00A16297"/>
    <w:rsid w:val="00A16878"/>
    <w:rsid w:val="00A16C82"/>
    <w:rsid w:val="00A21B40"/>
    <w:rsid w:val="00A2383E"/>
    <w:rsid w:val="00A251D6"/>
    <w:rsid w:val="00A253DA"/>
    <w:rsid w:val="00A25D2E"/>
    <w:rsid w:val="00A33717"/>
    <w:rsid w:val="00A36661"/>
    <w:rsid w:val="00A3725A"/>
    <w:rsid w:val="00A41755"/>
    <w:rsid w:val="00A41945"/>
    <w:rsid w:val="00A45F9B"/>
    <w:rsid w:val="00A53E32"/>
    <w:rsid w:val="00A61D93"/>
    <w:rsid w:val="00A61E42"/>
    <w:rsid w:val="00A630CE"/>
    <w:rsid w:val="00A631FB"/>
    <w:rsid w:val="00A72C41"/>
    <w:rsid w:val="00A74933"/>
    <w:rsid w:val="00A7687F"/>
    <w:rsid w:val="00A81470"/>
    <w:rsid w:val="00A81533"/>
    <w:rsid w:val="00A82B29"/>
    <w:rsid w:val="00A82C25"/>
    <w:rsid w:val="00A83105"/>
    <w:rsid w:val="00A84C46"/>
    <w:rsid w:val="00A8516B"/>
    <w:rsid w:val="00A86032"/>
    <w:rsid w:val="00A862C1"/>
    <w:rsid w:val="00A869EA"/>
    <w:rsid w:val="00A91E2C"/>
    <w:rsid w:val="00A9378F"/>
    <w:rsid w:val="00A94857"/>
    <w:rsid w:val="00A9540B"/>
    <w:rsid w:val="00A95666"/>
    <w:rsid w:val="00A97456"/>
    <w:rsid w:val="00AA0D4B"/>
    <w:rsid w:val="00AA16AA"/>
    <w:rsid w:val="00AA2B6F"/>
    <w:rsid w:val="00AA3B1C"/>
    <w:rsid w:val="00AA434C"/>
    <w:rsid w:val="00AA50BD"/>
    <w:rsid w:val="00AB15BB"/>
    <w:rsid w:val="00AB25AC"/>
    <w:rsid w:val="00AB3F07"/>
    <w:rsid w:val="00AB520F"/>
    <w:rsid w:val="00AB59F3"/>
    <w:rsid w:val="00AB68EF"/>
    <w:rsid w:val="00AC11EF"/>
    <w:rsid w:val="00AC1EAF"/>
    <w:rsid w:val="00AC259E"/>
    <w:rsid w:val="00AC648D"/>
    <w:rsid w:val="00AC733D"/>
    <w:rsid w:val="00AC7C82"/>
    <w:rsid w:val="00AD0081"/>
    <w:rsid w:val="00AD3438"/>
    <w:rsid w:val="00AE009C"/>
    <w:rsid w:val="00AE1228"/>
    <w:rsid w:val="00AE1A3F"/>
    <w:rsid w:val="00AE3ECF"/>
    <w:rsid w:val="00AE4B1C"/>
    <w:rsid w:val="00AE4C9F"/>
    <w:rsid w:val="00AE598F"/>
    <w:rsid w:val="00AE7516"/>
    <w:rsid w:val="00AF181F"/>
    <w:rsid w:val="00AF2C99"/>
    <w:rsid w:val="00AF4B92"/>
    <w:rsid w:val="00AF574D"/>
    <w:rsid w:val="00B01522"/>
    <w:rsid w:val="00B02275"/>
    <w:rsid w:val="00B02FA0"/>
    <w:rsid w:val="00B03485"/>
    <w:rsid w:val="00B05832"/>
    <w:rsid w:val="00B11558"/>
    <w:rsid w:val="00B173B2"/>
    <w:rsid w:val="00B206EE"/>
    <w:rsid w:val="00B20B75"/>
    <w:rsid w:val="00B2496B"/>
    <w:rsid w:val="00B2781B"/>
    <w:rsid w:val="00B30096"/>
    <w:rsid w:val="00B34E0F"/>
    <w:rsid w:val="00B40F22"/>
    <w:rsid w:val="00B40F60"/>
    <w:rsid w:val="00B43BA9"/>
    <w:rsid w:val="00B43F88"/>
    <w:rsid w:val="00B46696"/>
    <w:rsid w:val="00B47E7A"/>
    <w:rsid w:val="00B51D16"/>
    <w:rsid w:val="00B54573"/>
    <w:rsid w:val="00B5560C"/>
    <w:rsid w:val="00B5751E"/>
    <w:rsid w:val="00B67D11"/>
    <w:rsid w:val="00B716F7"/>
    <w:rsid w:val="00B741AB"/>
    <w:rsid w:val="00B763B0"/>
    <w:rsid w:val="00B840D9"/>
    <w:rsid w:val="00B850CB"/>
    <w:rsid w:val="00B9109E"/>
    <w:rsid w:val="00B910E9"/>
    <w:rsid w:val="00B91BCF"/>
    <w:rsid w:val="00B9797A"/>
    <w:rsid w:val="00B97FDF"/>
    <w:rsid w:val="00BA0787"/>
    <w:rsid w:val="00BA1CA5"/>
    <w:rsid w:val="00BA7832"/>
    <w:rsid w:val="00BA7E61"/>
    <w:rsid w:val="00BB363A"/>
    <w:rsid w:val="00BB3DA0"/>
    <w:rsid w:val="00BB4651"/>
    <w:rsid w:val="00BB53BA"/>
    <w:rsid w:val="00BB6554"/>
    <w:rsid w:val="00BB6BA0"/>
    <w:rsid w:val="00BB6D5D"/>
    <w:rsid w:val="00BC5369"/>
    <w:rsid w:val="00BC6E4F"/>
    <w:rsid w:val="00BC7313"/>
    <w:rsid w:val="00BD04D7"/>
    <w:rsid w:val="00BD46A9"/>
    <w:rsid w:val="00BD742A"/>
    <w:rsid w:val="00BE2B4B"/>
    <w:rsid w:val="00BE3924"/>
    <w:rsid w:val="00BE4DAB"/>
    <w:rsid w:val="00BE58A8"/>
    <w:rsid w:val="00BE6A4E"/>
    <w:rsid w:val="00BF0852"/>
    <w:rsid w:val="00BF612D"/>
    <w:rsid w:val="00C011D4"/>
    <w:rsid w:val="00C01C9E"/>
    <w:rsid w:val="00C0784B"/>
    <w:rsid w:val="00C10D38"/>
    <w:rsid w:val="00C10E5F"/>
    <w:rsid w:val="00C11754"/>
    <w:rsid w:val="00C15735"/>
    <w:rsid w:val="00C1753A"/>
    <w:rsid w:val="00C22B86"/>
    <w:rsid w:val="00C24BAA"/>
    <w:rsid w:val="00C24F1F"/>
    <w:rsid w:val="00C2580D"/>
    <w:rsid w:val="00C25FFA"/>
    <w:rsid w:val="00C27035"/>
    <w:rsid w:val="00C27C3A"/>
    <w:rsid w:val="00C31BC4"/>
    <w:rsid w:val="00C40835"/>
    <w:rsid w:val="00C450E7"/>
    <w:rsid w:val="00C45ECC"/>
    <w:rsid w:val="00C468DA"/>
    <w:rsid w:val="00C46DA4"/>
    <w:rsid w:val="00C510B1"/>
    <w:rsid w:val="00C546BC"/>
    <w:rsid w:val="00C61F04"/>
    <w:rsid w:val="00C62371"/>
    <w:rsid w:val="00C66F32"/>
    <w:rsid w:val="00C67E2C"/>
    <w:rsid w:val="00C70187"/>
    <w:rsid w:val="00C705E1"/>
    <w:rsid w:val="00C7171B"/>
    <w:rsid w:val="00C7406E"/>
    <w:rsid w:val="00C75DFE"/>
    <w:rsid w:val="00C82726"/>
    <w:rsid w:val="00C85F30"/>
    <w:rsid w:val="00C862F1"/>
    <w:rsid w:val="00C91840"/>
    <w:rsid w:val="00C92D2C"/>
    <w:rsid w:val="00C9397A"/>
    <w:rsid w:val="00C94100"/>
    <w:rsid w:val="00C94B7B"/>
    <w:rsid w:val="00C951B0"/>
    <w:rsid w:val="00C96F7C"/>
    <w:rsid w:val="00CA391A"/>
    <w:rsid w:val="00CA3AEC"/>
    <w:rsid w:val="00CA4D5F"/>
    <w:rsid w:val="00CB08CF"/>
    <w:rsid w:val="00CB0E46"/>
    <w:rsid w:val="00CB5405"/>
    <w:rsid w:val="00CB631E"/>
    <w:rsid w:val="00CB6D47"/>
    <w:rsid w:val="00CC0345"/>
    <w:rsid w:val="00CC17AB"/>
    <w:rsid w:val="00CC3EC9"/>
    <w:rsid w:val="00CC77F0"/>
    <w:rsid w:val="00CC7A18"/>
    <w:rsid w:val="00CC7E86"/>
    <w:rsid w:val="00CD0402"/>
    <w:rsid w:val="00CD23BC"/>
    <w:rsid w:val="00CD25E9"/>
    <w:rsid w:val="00CD707F"/>
    <w:rsid w:val="00CE0371"/>
    <w:rsid w:val="00CE27B9"/>
    <w:rsid w:val="00CE2F1C"/>
    <w:rsid w:val="00CE32E6"/>
    <w:rsid w:val="00CE4DFC"/>
    <w:rsid w:val="00CE5711"/>
    <w:rsid w:val="00CE6975"/>
    <w:rsid w:val="00CF7A08"/>
    <w:rsid w:val="00D04C68"/>
    <w:rsid w:val="00D06341"/>
    <w:rsid w:val="00D073AC"/>
    <w:rsid w:val="00D1211F"/>
    <w:rsid w:val="00D12A9E"/>
    <w:rsid w:val="00D139A8"/>
    <w:rsid w:val="00D14988"/>
    <w:rsid w:val="00D155CD"/>
    <w:rsid w:val="00D16EE8"/>
    <w:rsid w:val="00D2234D"/>
    <w:rsid w:val="00D239F7"/>
    <w:rsid w:val="00D25C09"/>
    <w:rsid w:val="00D30398"/>
    <w:rsid w:val="00D305D7"/>
    <w:rsid w:val="00D30B32"/>
    <w:rsid w:val="00D313C3"/>
    <w:rsid w:val="00D342E1"/>
    <w:rsid w:val="00D37E73"/>
    <w:rsid w:val="00D4535C"/>
    <w:rsid w:val="00D47C21"/>
    <w:rsid w:val="00D50F95"/>
    <w:rsid w:val="00D52D7A"/>
    <w:rsid w:val="00D55D37"/>
    <w:rsid w:val="00D571EB"/>
    <w:rsid w:val="00D61875"/>
    <w:rsid w:val="00D62864"/>
    <w:rsid w:val="00D62A4A"/>
    <w:rsid w:val="00D648E9"/>
    <w:rsid w:val="00D7039B"/>
    <w:rsid w:val="00D70AAD"/>
    <w:rsid w:val="00D72A73"/>
    <w:rsid w:val="00D72AA8"/>
    <w:rsid w:val="00D74D26"/>
    <w:rsid w:val="00D75368"/>
    <w:rsid w:val="00D77411"/>
    <w:rsid w:val="00D77A6B"/>
    <w:rsid w:val="00D84856"/>
    <w:rsid w:val="00D86FE2"/>
    <w:rsid w:val="00D87DB0"/>
    <w:rsid w:val="00D9062B"/>
    <w:rsid w:val="00D926B3"/>
    <w:rsid w:val="00D934CD"/>
    <w:rsid w:val="00DA11AE"/>
    <w:rsid w:val="00DA1CB5"/>
    <w:rsid w:val="00DA2688"/>
    <w:rsid w:val="00DA37B2"/>
    <w:rsid w:val="00DA4BB4"/>
    <w:rsid w:val="00DA6751"/>
    <w:rsid w:val="00DA77A2"/>
    <w:rsid w:val="00DA7F18"/>
    <w:rsid w:val="00DB030A"/>
    <w:rsid w:val="00DB1A64"/>
    <w:rsid w:val="00DB1F67"/>
    <w:rsid w:val="00DB2C13"/>
    <w:rsid w:val="00DB39DF"/>
    <w:rsid w:val="00DB4470"/>
    <w:rsid w:val="00DB4544"/>
    <w:rsid w:val="00DB48C0"/>
    <w:rsid w:val="00DB566A"/>
    <w:rsid w:val="00DB5971"/>
    <w:rsid w:val="00DB5EBF"/>
    <w:rsid w:val="00DB60D3"/>
    <w:rsid w:val="00DC05E4"/>
    <w:rsid w:val="00DC0EDB"/>
    <w:rsid w:val="00DC36F1"/>
    <w:rsid w:val="00DC43A7"/>
    <w:rsid w:val="00DC69D6"/>
    <w:rsid w:val="00DC6AAE"/>
    <w:rsid w:val="00DC70EC"/>
    <w:rsid w:val="00DD5220"/>
    <w:rsid w:val="00DD71DA"/>
    <w:rsid w:val="00DD7236"/>
    <w:rsid w:val="00DE1029"/>
    <w:rsid w:val="00DE20A8"/>
    <w:rsid w:val="00DE375A"/>
    <w:rsid w:val="00DE3DA8"/>
    <w:rsid w:val="00DE707A"/>
    <w:rsid w:val="00DF5E19"/>
    <w:rsid w:val="00DF6198"/>
    <w:rsid w:val="00E01726"/>
    <w:rsid w:val="00E02AE7"/>
    <w:rsid w:val="00E03458"/>
    <w:rsid w:val="00E0450E"/>
    <w:rsid w:val="00E060E0"/>
    <w:rsid w:val="00E062E4"/>
    <w:rsid w:val="00E118F9"/>
    <w:rsid w:val="00E13C0C"/>
    <w:rsid w:val="00E159D4"/>
    <w:rsid w:val="00E15C92"/>
    <w:rsid w:val="00E1611D"/>
    <w:rsid w:val="00E16FA9"/>
    <w:rsid w:val="00E2296A"/>
    <w:rsid w:val="00E22CF9"/>
    <w:rsid w:val="00E23F50"/>
    <w:rsid w:val="00E24B60"/>
    <w:rsid w:val="00E271EA"/>
    <w:rsid w:val="00E2740A"/>
    <w:rsid w:val="00E31AD4"/>
    <w:rsid w:val="00E37E92"/>
    <w:rsid w:val="00E41288"/>
    <w:rsid w:val="00E4260C"/>
    <w:rsid w:val="00E443EB"/>
    <w:rsid w:val="00E44874"/>
    <w:rsid w:val="00E453A2"/>
    <w:rsid w:val="00E47D75"/>
    <w:rsid w:val="00E5321A"/>
    <w:rsid w:val="00E53771"/>
    <w:rsid w:val="00E54834"/>
    <w:rsid w:val="00E5595C"/>
    <w:rsid w:val="00E5691D"/>
    <w:rsid w:val="00E56E14"/>
    <w:rsid w:val="00E603D7"/>
    <w:rsid w:val="00E63575"/>
    <w:rsid w:val="00E643D6"/>
    <w:rsid w:val="00E703AE"/>
    <w:rsid w:val="00E711F3"/>
    <w:rsid w:val="00E81B4C"/>
    <w:rsid w:val="00E82940"/>
    <w:rsid w:val="00E8751C"/>
    <w:rsid w:val="00E90143"/>
    <w:rsid w:val="00E9231C"/>
    <w:rsid w:val="00E932CF"/>
    <w:rsid w:val="00E93585"/>
    <w:rsid w:val="00E93CA5"/>
    <w:rsid w:val="00E94A8B"/>
    <w:rsid w:val="00E96896"/>
    <w:rsid w:val="00E976A0"/>
    <w:rsid w:val="00E976E9"/>
    <w:rsid w:val="00EA38CB"/>
    <w:rsid w:val="00EA52A7"/>
    <w:rsid w:val="00EA5328"/>
    <w:rsid w:val="00EB0507"/>
    <w:rsid w:val="00EB18DB"/>
    <w:rsid w:val="00EB211B"/>
    <w:rsid w:val="00EB46C2"/>
    <w:rsid w:val="00EB6A0D"/>
    <w:rsid w:val="00EB6E43"/>
    <w:rsid w:val="00EB764E"/>
    <w:rsid w:val="00EB7F05"/>
    <w:rsid w:val="00EC26E8"/>
    <w:rsid w:val="00EC45E4"/>
    <w:rsid w:val="00EC549D"/>
    <w:rsid w:val="00ED5586"/>
    <w:rsid w:val="00ED74FB"/>
    <w:rsid w:val="00ED7691"/>
    <w:rsid w:val="00EE0750"/>
    <w:rsid w:val="00EE104A"/>
    <w:rsid w:val="00EE154A"/>
    <w:rsid w:val="00EE3843"/>
    <w:rsid w:val="00EE5D59"/>
    <w:rsid w:val="00EE6340"/>
    <w:rsid w:val="00EE6553"/>
    <w:rsid w:val="00EF00AE"/>
    <w:rsid w:val="00EF1644"/>
    <w:rsid w:val="00EF1806"/>
    <w:rsid w:val="00EF1838"/>
    <w:rsid w:val="00EF3291"/>
    <w:rsid w:val="00F00824"/>
    <w:rsid w:val="00F011C1"/>
    <w:rsid w:val="00F03E3C"/>
    <w:rsid w:val="00F0440C"/>
    <w:rsid w:val="00F12B06"/>
    <w:rsid w:val="00F1616E"/>
    <w:rsid w:val="00F1748E"/>
    <w:rsid w:val="00F20572"/>
    <w:rsid w:val="00F2061F"/>
    <w:rsid w:val="00F20FF7"/>
    <w:rsid w:val="00F21AB6"/>
    <w:rsid w:val="00F236C0"/>
    <w:rsid w:val="00F236E7"/>
    <w:rsid w:val="00F258BE"/>
    <w:rsid w:val="00F25DE8"/>
    <w:rsid w:val="00F323CC"/>
    <w:rsid w:val="00F32515"/>
    <w:rsid w:val="00F32BC0"/>
    <w:rsid w:val="00F3681F"/>
    <w:rsid w:val="00F37179"/>
    <w:rsid w:val="00F37BB2"/>
    <w:rsid w:val="00F4058B"/>
    <w:rsid w:val="00F409A5"/>
    <w:rsid w:val="00F41EA0"/>
    <w:rsid w:val="00F42D1D"/>
    <w:rsid w:val="00F45DA0"/>
    <w:rsid w:val="00F47BA1"/>
    <w:rsid w:val="00F51539"/>
    <w:rsid w:val="00F527CD"/>
    <w:rsid w:val="00F57756"/>
    <w:rsid w:val="00F60C00"/>
    <w:rsid w:val="00F61505"/>
    <w:rsid w:val="00F6353D"/>
    <w:rsid w:val="00F64508"/>
    <w:rsid w:val="00F7164D"/>
    <w:rsid w:val="00F71833"/>
    <w:rsid w:val="00F75AD9"/>
    <w:rsid w:val="00F764CE"/>
    <w:rsid w:val="00F76AEF"/>
    <w:rsid w:val="00F8103A"/>
    <w:rsid w:val="00F835C3"/>
    <w:rsid w:val="00F83614"/>
    <w:rsid w:val="00F836E5"/>
    <w:rsid w:val="00F86158"/>
    <w:rsid w:val="00F87676"/>
    <w:rsid w:val="00F90C6C"/>
    <w:rsid w:val="00F912C3"/>
    <w:rsid w:val="00F93428"/>
    <w:rsid w:val="00F94770"/>
    <w:rsid w:val="00F94913"/>
    <w:rsid w:val="00F94B99"/>
    <w:rsid w:val="00F950EA"/>
    <w:rsid w:val="00F95FBB"/>
    <w:rsid w:val="00F97D6D"/>
    <w:rsid w:val="00FA1A25"/>
    <w:rsid w:val="00FA3D72"/>
    <w:rsid w:val="00FA55A6"/>
    <w:rsid w:val="00FA67E4"/>
    <w:rsid w:val="00FA71F8"/>
    <w:rsid w:val="00FB149E"/>
    <w:rsid w:val="00FB2DCB"/>
    <w:rsid w:val="00FB37B9"/>
    <w:rsid w:val="00FB6613"/>
    <w:rsid w:val="00FC3B8A"/>
    <w:rsid w:val="00FC5361"/>
    <w:rsid w:val="00FC610C"/>
    <w:rsid w:val="00FC6B6F"/>
    <w:rsid w:val="00FC6C2F"/>
    <w:rsid w:val="00FC7501"/>
    <w:rsid w:val="00FD08E5"/>
    <w:rsid w:val="00FD21D2"/>
    <w:rsid w:val="00FD5451"/>
    <w:rsid w:val="00FD5D63"/>
    <w:rsid w:val="00FD72EC"/>
    <w:rsid w:val="00FE3344"/>
    <w:rsid w:val="00FE5502"/>
    <w:rsid w:val="00FE6F22"/>
    <w:rsid w:val="00FF189B"/>
    <w:rsid w:val="00FF1988"/>
    <w:rsid w:val="00FF5E82"/>
    <w:rsid w:val="00FF6294"/>
    <w:rsid w:val="00FF6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B494"/>
  <w15:chartTrackingRefBased/>
  <w15:docId w15:val="{2D424F27-9A4E-4E8D-A361-2DEC5F3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31"/>
    <w:rPr>
      <w:rFonts w:ascii="Times New Roman" w:hAnsi="Times New Roman" w:cs="Calibri"/>
      <w:szCs w:val="22"/>
    </w:rPr>
  </w:style>
  <w:style w:type="paragraph" w:styleId="Heading1">
    <w:name w:val="heading 1"/>
    <w:basedOn w:val="Normal"/>
    <w:next w:val="Normal"/>
    <w:link w:val="Heading1Char"/>
    <w:uiPriority w:val="9"/>
    <w:qFormat/>
    <w:rsid w:val="00386EFC"/>
    <w:pPr>
      <w:keepNext/>
      <w:keepLines/>
      <w:spacing w:before="240"/>
      <w:outlineLvl w:val="0"/>
    </w:pPr>
    <w:rPr>
      <w:rFonts w:asciiTheme="majorBidi" w:eastAsiaTheme="majorEastAsia" w:hAnsiTheme="majorBidi" w:cstheme="majorBidi"/>
      <w:b/>
      <w:szCs w:val="32"/>
      <w:u w:val="single"/>
    </w:rPr>
  </w:style>
  <w:style w:type="paragraph" w:styleId="Heading2">
    <w:name w:val="heading 2"/>
    <w:basedOn w:val="Normal"/>
    <w:next w:val="Normal"/>
    <w:link w:val="Heading2Char"/>
    <w:uiPriority w:val="9"/>
    <w:unhideWhenUsed/>
    <w:qFormat/>
    <w:rsid w:val="000459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E3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BD9"/>
    <w:pPr>
      <w:tabs>
        <w:tab w:val="center" w:pos="4680"/>
        <w:tab w:val="right" w:pos="9360"/>
      </w:tabs>
    </w:pPr>
  </w:style>
  <w:style w:type="character" w:customStyle="1" w:styleId="HeaderChar">
    <w:name w:val="Header Char"/>
    <w:basedOn w:val="DefaultParagraphFont"/>
    <w:link w:val="Header"/>
    <w:uiPriority w:val="99"/>
    <w:rsid w:val="00032BD9"/>
    <w:rPr>
      <w:rFonts w:ascii="Times New Roman" w:hAnsi="Times New Roman" w:cs="Calibri"/>
      <w:szCs w:val="22"/>
    </w:rPr>
  </w:style>
  <w:style w:type="paragraph" w:styleId="Footer">
    <w:name w:val="footer"/>
    <w:basedOn w:val="Normal"/>
    <w:link w:val="FooterChar"/>
    <w:uiPriority w:val="99"/>
    <w:unhideWhenUsed/>
    <w:rsid w:val="00032BD9"/>
    <w:pPr>
      <w:tabs>
        <w:tab w:val="center" w:pos="4680"/>
        <w:tab w:val="right" w:pos="9360"/>
      </w:tabs>
    </w:pPr>
  </w:style>
  <w:style w:type="character" w:customStyle="1" w:styleId="FooterChar">
    <w:name w:val="Footer Char"/>
    <w:basedOn w:val="DefaultParagraphFont"/>
    <w:link w:val="Footer"/>
    <w:uiPriority w:val="99"/>
    <w:rsid w:val="00032BD9"/>
    <w:rPr>
      <w:rFonts w:ascii="Times New Roman" w:hAnsi="Times New Roman" w:cs="Calibri"/>
      <w:szCs w:val="22"/>
    </w:rPr>
  </w:style>
  <w:style w:type="character" w:styleId="Hyperlink">
    <w:name w:val="Hyperlink"/>
    <w:basedOn w:val="DefaultParagraphFont"/>
    <w:uiPriority w:val="99"/>
    <w:unhideWhenUsed/>
    <w:rsid w:val="006F2A7F"/>
    <w:rPr>
      <w:color w:val="0563C1" w:themeColor="hyperlink"/>
      <w:u w:val="single"/>
    </w:rPr>
  </w:style>
  <w:style w:type="paragraph" w:styleId="NoSpacing">
    <w:name w:val="No Spacing"/>
    <w:link w:val="NoSpacingChar"/>
    <w:uiPriority w:val="1"/>
    <w:qFormat/>
    <w:rsid w:val="00402F0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02F09"/>
    <w:rPr>
      <w:rFonts w:asciiTheme="minorHAnsi" w:eastAsiaTheme="minorEastAsia" w:hAnsiTheme="minorHAnsi" w:cstheme="minorBidi"/>
      <w:sz w:val="22"/>
      <w:szCs w:val="22"/>
    </w:rPr>
  </w:style>
  <w:style w:type="paragraph" w:customStyle="1" w:styleId="Default">
    <w:name w:val="Default"/>
    <w:rsid w:val="00402F09"/>
    <w:pPr>
      <w:autoSpaceDE w:val="0"/>
      <w:autoSpaceDN w:val="0"/>
      <w:adjustRightInd w:val="0"/>
    </w:pPr>
    <w:rPr>
      <w:rFonts w:ascii="Garamond" w:hAnsi="Garamond" w:cs="Garamond"/>
      <w:color w:val="000000"/>
    </w:rPr>
  </w:style>
  <w:style w:type="character" w:styleId="CommentReference">
    <w:name w:val="annotation reference"/>
    <w:basedOn w:val="DefaultParagraphFont"/>
    <w:uiPriority w:val="99"/>
    <w:semiHidden/>
    <w:unhideWhenUsed/>
    <w:rsid w:val="00183AD8"/>
    <w:rPr>
      <w:sz w:val="16"/>
      <w:szCs w:val="16"/>
    </w:rPr>
  </w:style>
  <w:style w:type="paragraph" w:styleId="CommentText">
    <w:name w:val="annotation text"/>
    <w:basedOn w:val="Normal"/>
    <w:link w:val="CommentTextChar"/>
    <w:uiPriority w:val="99"/>
    <w:unhideWhenUsed/>
    <w:rsid w:val="00183AD8"/>
    <w:rPr>
      <w:sz w:val="20"/>
      <w:szCs w:val="20"/>
    </w:rPr>
  </w:style>
  <w:style w:type="character" w:customStyle="1" w:styleId="CommentTextChar">
    <w:name w:val="Comment Text Char"/>
    <w:basedOn w:val="DefaultParagraphFont"/>
    <w:link w:val="CommentText"/>
    <w:uiPriority w:val="99"/>
    <w:rsid w:val="00183AD8"/>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183AD8"/>
    <w:rPr>
      <w:b/>
      <w:bCs/>
    </w:rPr>
  </w:style>
  <w:style w:type="character" w:customStyle="1" w:styleId="CommentSubjectChar">
    <w:name w:val="Comment Subject Char"/>
    <w:basedOn w:val="CommentTextChar"/>
    <w:link w:val="CommentSubject"/>
    <w:uiPriority w:val="99"/>
    <w:semiHidden/>
    <w:rsid w:val="00183AD8"/>
    <w:rPr>
      <w:rFonts w:ascii="Times New Roman" w:hAnsi="Times New Roman" w:cs="Calibri"/>
      <w:b/>
      <w:bCs/>
      <w:sz w:val="20"/>
      <w:szCs w:val="20"/>
    </w:rPr>
  </w:style>
  <w:style w:type="paragraph" w:styleId="BalloonText">
    <w:name w:val="Balloon Text"/>
    <w:basedOn w:val="Normal"/>
    <w:link w:val="BalloonTextChar"/>
    <w:uiPriority w:val="99"/>
    <w:semiHidden/>
    <w:unhideWhenUsed/>
    <w:rsid w:val="00183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D8"/>
    <w:rPr>
      <w:rFonts w:ascii="Segoe UI" w:hAnsi="Segoe UI" w:cs="Segoe UI"/>
      <w:sz w:val="18"/>
      <w:szCs w:val="18"/>
    </w:rPr>
  </w:style>
  <w:style w:type="paragraph" w:styleId="FootnoteText">
    <w:name w:val="footnote text"/>
    <w:basedOn w:val="Normal"/>
    <w:link w:val="FootnoteTextChar"/>
    <w:uiPriority w:val="99"/>
    <w:semiHidden/>
    <w:unhideWhenUsed/>
    <w:rsid w:val="003E2AD6"/>
    <w:rPr>
      <w:sz w:val="20"/>
      <w:szCs w:val="20"/>
    </w:rPr>
  </w:style>
  <w:style w:type="character" w:customStyle="1" w:styleId="FootnoteTextChar">
    <w:name w:val="Footnote Text Char"/>
    <w:basedOn w:val="DefaultParagraphFont"/>
    <w:link w:val="FootnoteText"/>
    <w:uiPriority w:val="99"/>
    <w:semiHidden/>
    <w:rsid w:val="003E2AD6"/>
    <w:rPr>
      <w:rFonts w:ascii="Times New Roman" w:hAnsi="Times New Roman" w:cs="Calibri"/>
      <w:sz w:val="20"/>
      <w:szCs w:val="20"/>
    </w:rPr>
  </w:style>
  <w:style w:type="character" w:styleId="FootnoteReference">
    <w:name w:val="footnote reference"/>
    <w:basedOn w:val="DefaultParagraphFont"/>
    <w:uiPriority w:val="99"/>
    <w:semiHidden/>
    <w:unhideWhenUsed/>
    <w:rsid w:val="003E2AD6"/>
    <w:rPr>
      <w:vertAlign w:val="superscript"/>
    </w:rPr>
  </w:style>
  <w:style w:type="character" w:customStyle="1" w:styleId="pagesnum">
    <w:name w:val="pagesnum"/>
    <w:basedOn w:val="DefaultParagraphFont"/>
    <w:rsid w:val="0039206D"/>
  </w:style>
  <w:style w:type="table" w:styleId="TableGrid">
    <w:name w:val="Table Grid"/>
    <w:basedOn w:val="TableNormal"/>
    <w:uiPriority w:val="39"/>
    <w:rsid w:val="00977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6EFC"/>
    <w:rPr>
      <w:rFonts w:eastAsiaTheme="majorEastAsia"/>
      <w:b/>
      <w:szCs w:val="32"/>
      <w:u w:val="single"/>
    </w:rPr>
  </w:style>
  <w:style w:type="character" w:customStyle="1" w:styleId="Heading2Char">
    <w:name w:val="Heading 2 Char"/>
    <w:basedOn w:val="DefaultParagraphFont"/>
    <w:link w:val="Heading2"/>
    <w:uiPriority w:val="9"/>
    <w:rsid w:val="000459AF"/>
    <w:rPr>
      <w:rFonts w:asciiTheme="majorHAnsi" w:eastAsiaTheme="majorEastAsia" w:hAnsiTheme="majorHAnsi"/>
      <w:color w:val="2F5496" w:themeColor="accent1" w:themeShade="BF"/>
      <w:sz w:val="26"/>
      <w:szCs w:val="26"/>
    </w:rPr>
  </w:style>
  <w:style w:type="paragraph" w:customStyle="1" w:styleId="DefaultStyle">
    <w:name w:val="Default Style"/>
    <w:rsid w:val="0011366A"/>
    <w:pPr>
      <w:suppressAutoHyphens/>
      <w:spacing w:after="160" w:line="256" w:lineRule="auto"/>
    </w:pPr>
    <w:rPr>
      <w:rFonts w:ascii="Calibri" w:eastAsia="DejaVu Sans" w:hAnsi="Calibri" w:cstheme="minorBidi"/>
      <w:sz w:val="22"/>
      <w:szCs w:val="28"/>
      <w:lang w:eastAsia="zh-CN" w:bidi="th-TH"/>
    </w:rPr>
  </w:style>
  <w:style w:type="paragraph" w:customStyle="1" w:styleId="paragraph">
    <w:name w:val="paragraph"/>
    <w:basedOn w:val="Normal"/>
    <w:rsid w:val="00A862C1"/>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862C1"/>
  </w:style>
  <w:style w:type="character" w:customStyle="1" w:styleId="eop">
    <w:name w:val="eop"/>
    <w:basedOn w:val="DefaultParagraphFont"/>
    <w:rsid w:val="00A862C1"/>
  </w:style>
  <w:style w:type="character" w:customStyle="1" w:styleId="spellingerror">
    <w:name w:val="spellingerror"/>
    <w:basedOn w:val="DefaultParagraphFont"/>
    <w:rsid w:val="00A862C1"/>
  </w:style>
  <w:style w:type="paragraph" w:styleId="ListParagraph">
    <w:name w:val="List Paragraph"/>
    <w:basedOn w:val="Normal"/>
    <w:uiPriority w:val="34"/>
    <w:qFormat/>
    <w:rsid w:val="000B2B2D"/>
    <w:pPr>
      <w:ind w:left="720"/>
      <w:contextualSpacing/>
    </w:pPr>
  </w:style>
  <w:style w:type="character" w:styleId="UnresolvedMention">
    <w:name w:val="Unresolved Mention"/>
    <w:basedOn w:val="DefaultParagraphFont"/>
    <w:uiPriority w:val="99"/>
    <w:semiHidden/>
    <w:unhideWhenUsed/>
    <w:rsid w:val="001F1E9A"/>
    <w:rPr>
      <w:color w:val="605E5C"/>
      <w:shd w:val="clear" w:color="auto" w:fill="E1DFDD"/>
    </w:rPr>
  </w:style>
  <w:style w:type="paragraph" w:styleId="Revision">
    <w:name w:val="Revision"/>
    <w:hidden/>
    <w:uiPriority w:val="99"/>
    <w:semiHidden/>
    <w:rsid w:val="00AF574D"/>
    <w:rPr>
      <w:rFonts w:ascii="Times New Roman" w:hAnsi="Times New Roman" w:cs="Calibri"/>
      <w:szCs w:val="22"/>
    </w:rPr>
  </w:style>
  <w:style w:type="character" w:customStyle="1" w:styleId="Heading3Char">
    <w:name w:val="Heading 3 Char"/>
    <w:basedOn w:val="DefaultParagraphFont"/>
    <w:link w:val="Heading3"/>
    <w:uiPriority w:val="9"/>
    <w:rsid w:val="00F03E3C"/>
    <w:rPr>
      <w:rFonts w:asciiTheme="majorHAnsi" w:eastAsiaTheme="majorEastAsia" w:hAnsiTheme="majorHAnsi"/>
      <w:color w:val="1F3763" w:themeColor="accent1" w:themeShade="7F"/>
    </w:rPr>
  </w:style>
  <w:style w:type="character" w:styleId="Emphasis">
    <w:name w:val="Emphasis"/>
    <w:basedOn w:val="DefaultParagraphFont"/>
    <w:uiPriority w:val="20"/>
    <w:qFormat/>
    <w:rsid w:val="003030CD"/>
    <w:rPr>
      <w:i/>
      <w:iCs/>
    </w:rPr>
  </w:style>
  <w:style w:type="character" w:customStyle="1" w:styleId="personname">
    <w:name w:val="person_name"/>
    <w:basedOn w:val="DefaultParagraphFont"/>
    <w:rsid w:val="000D7A76"/>
  </w:style>
  <w:style w:type="character" w:customStyle="1" w:styleId="muitypography-root">
    <w:name w:val="muitypography-root"/>
    <w:basedOn w:val="DefaultParagraphFont"/>
    <w:rsid w:val="00FC3B8A"/>
  </w:style>
  <w:style w:type="character" w:customStyle="1" w:styleId="cf01">
    <w:name w:val="cf01"/>
    <w:basedOn w:val="DefaultParagraphFont"/>
    <w:rsid w:val="00625099"/>
    <w:rPr>
      <w:rFonts w:ascii="Segoe UI" w:hAnsi="Segoe UI" w:cs="Segoe UI" w:hint="default"/>
      <w:sz w:val="18"/>
      <w:szCs w:val="18"/>
    </w:rPr>
  </w:style>
  <w:style w:type="paragraph" w:styleId="EndnoteText">
    <w:name w:val="endnote text"/>
    <w:basedOn w:val="Normal"/>
    <w:link w:val="EndnoteTextChar"/>
    <w:uiPriority w:val="99"/>
    <w:semiHidden/>
    <w:unhideWhenUsed/>
    <w:rsid w:val="00C27C3A"/>
    <w:rPr>
      <w:sz w:val="20"/>
      <w:szCs w:val="20"/>
    </w:rPr>
  </w:style>
  <w:style w:type="character" w:customStyle="1" w:styleId="EndnoteTextChar">
    <w:name w:val="Endnote Text Char"/>
    <w:basedOn w:val="DefaultParagraphFont"/>
    <w:link w:val="EndnoteText"/>
    <w:uiPriority w:val="99"/>
    <w:semiHidden/>
    <w:rsid w:val="00C27C3A"/>
    <w:rPr>
      <w:rFonts w:ascii="Times New Roman" w:hAnsi="Times New Roman" w:cs="Calibri"/>
      <w:sz w:val="20"/>
      <w:szCs w:val="20"/>
    </w:rPr>
  </w:style>
  <w:style w:type="character" w:styleId="EndnoteReference">
    <w:name w:val="endnote reference"/>
    <w:basedOn w:val="DefaultParagraphFont"/>
    <w:uiPriority w:val="99"/>
    <w:semiHidden/>
    <w:unhideWhenUsed/>
    <w:rsid w:val="00C27C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301">
      <w:bodyDiv w:val="1"/>
      <w:marLeft w:val="0"/>
      <w:marRight w:val="0"/>
      <w:marTop w:val="0"/>
      <w:marBottom w:val="0"/>
      <w:divBdr>
        <w:top w:val="none" w:sz="0" w:space="0" w:color="auto"/>
        <w:left w:val="none" w:sz="0" w:space="0" w:color="auto"/>
        <w:bottom w:val="none" w:sz="0" w:space="0" w:color="auto"/>
        <w:right w:val="none" w:sz="0" w:space="0" w:color="auto"/>
      </w:divBdr>
    </w:div>
    <w:div w:id="165368930">
      <w:bodyDiv w:val="1"/>
      <w:marLeft w:val="0"/>
      <w:marRight w:val="0"/>
      <w:marTop w:val="0"/>
      <w:marBottom w:val="0"/>
      <w:divBdr>
        <w:top w:val="none" w:sz="0" w:space="0" w:color="auto"/>
        <w:left w:val="none" w:sz="0" w:space="0" w:color="auto"/>
        <w:bottom w:val="none" w:sz="0" w:space="0" w:color="auto"/>
        <w:right w:val="none" w:sz="0" w:space="0" w:color="auto"/>
      </w:divBdr>
    </w:div>
    <w:div w:id="248856505">
      <w:bodyDiv w:val="1"/>
      <w:marLeft w:val="0"/>
      <w:marRight w:val="0"/>
      <w:marTop w:val="0"/>
      <w:marBottom w:val="0"/>
      <w:divBdr>
        <w:top w:val="none" w:sz="0" w:space="0" w:color="auto"/>
        <w:left w:val="none" w:sz="0" w:space="0" w:color="auto"/>
        <w:bottom w:val="none" w:sz="0" w:space="0" w:color="auto"/>
        <w:right w:val="none" w:sz="0" w:space="0" w:color="auto"/>
      </w:divBdr>
    </w:div>
    <w:div w:id="268313541">
      <w:bodyDiv w:val="1"/>
      <w:marLeft w:val="0"/>
      <w:marRight w:val="0"/>
      <w:marTop w:val="0"/>
      <w:marBottom w:val="0"/>
      <w:divBdr>
        <w:top w:val="none" w:sz="0" w:space="0" w:color="auto"/>
        <w:left w:val="none" w:sz="0" w:space="0" w:color="auto"/>
        <w:bottom w:val="none" w:sz="0" w:space="0" w:color="auto"/>
        <w:right w:val="none" w:sz="0" w:space="0" w:color="auto"/>
      </w:divBdr>
    </w:div>
    <w:div w:id="341396564">
      <w:bodyDiv w:val="1"/>
      <w:marLeft w:val="0"/>
      <w:marRight w:val="0"/>
      <w:marTop w:val="0"/>
      <w:marBottom w:val="0"/>
      <w:divBdr>
        <w:top w:val="none" w:sz="0" w:space="0" w:color="auto"/>
        <w:left w:val="none" w:sz="0" w:space="0" w:color="auto"/>
        <w:bottom w:val="none" w:sz="0" w:space="0" w:color="auto"/>
        <w:right w:val="none" w:sz="0" w:space="0" w:color="auto"/>
      </w:divBdr>
    </w:div>
    <w:div w:id="636616999">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1072235563">
      <w:bodyDiv w:val="1"/>
      <w:marLeft w:val="0"/>
      <w:marRight w:val="0"/>
      <w:marTop w:val="0"/>
      <w:marBottom w:val="0"/>
      <w:divBdr>
        <w:top w:val="none" w:sz="0" w:space="0" w:color="auto"/>
        <w:left w:val="none" w:sz="0" w:space="0" w:color="auto"/>
        <w:bottom w:val="none" w:sz="0" w:space="0" w:color="auto"/>
        <w:right w:val="none" w:sz="0" w:space="0" w:color="auto"/>
      </w:divBdr>
    </w:div>
    <w:div w:id="1075006485">
      <w:bodyDiv w:val="1"/>
      <w:marLeft w:val="0"/>
      <w:marRight w:val="0"/>
      <w:marTop w:val="0"/>
      <w:marBottom w:val="0"/>
      <w:divBdr>
        <w:top w:val="none" w:sz="0" w:space="0" w:color="auto"/>
        <w:left w:val="none" w:sz="0" w:space="0" w:color="auto"/>
        <w:bottom w:val="none" w:sz="0" w:space="0" w:color="auto"/>
        <w:right w:val="none" w:sz="0" w:space="0" w:color="auto"/>
      </w:divBdr>
    </w:div>
    <w:div w:id="1079984780">
      <w:bodyDiv w:val="1"/>
      <w:marLeft w:val="0"/>
      <w:marRight w:val="0"/>
      <w:marTop w:val="0"/>
      <w:marBottom w:val="0"/>
      <w:divBdr>
        <w:top w:val="none" w:sz="0" w:space="0" w:color="auto"/>
        <w:left w:val="none" w:sz="0" w:space="0" w:color="auto"/>
        <w:bottom w:val="none" w:sz="0" w:space="0" w:color="auto"/>
        <w:right w:val="none" w:sz="0" w:space="0" w:color="auto"/>
      </w:divBdr>
    </w:div>
    <w:div w:id="1230457337">
      <w:bodyDiv w:val="1"/>
      <w:marLeft w:val="0"/>
      <w:marRight w:val="0"/>
      <w:marTop w:val="0"/>
      <w:marBottom w:val="0"/>
      <w:divBdr>
        <w:top w:val="none" w:sz="0" w:space="0" w:color="auto"/>
        <w:left w:val="none" w:sz="0" w:space="0" w:color="auto"/>
        <w:bottom w:val="none" w:sz="0" w:space="0" w:color="auto"/>
        <w:right w:val="none" w:sz="0" w:space="0" w:color="auto"/>
      </w:divBdr>
    </w:div>
    <w:div w:id="1328629989">
      <w:bodyDiv w:val="1"/>
      <w:marLeft w:val="0"/>
      <w:marRight w:val="0"/>
      <w:marTop w:val="0"/>
      <w:marBottom w:val="0"/>
      <w:divBdr>
        <w:top w:val="none" w:sz="0" w:space="0" w:color="auto"/>
        <w:left w:val="none" w:sz="0" w:space="0" w:color="auto"/>
        <w:bottom w:val="none" w:sz="0" w:space="0" w:color="auto"/>
        <w:right w:val="none" w:sz="0" w:space="0" w:color="auto"/>
      </w:divBdr>
    </w:div>
    <w:div w:id="1353193018">
      <w:bodyDiv w:val="1"/>
      <w:marLeft w:val="0"/>
      <w:marRight w:val="0"/>
      <w:marTop w:val="0"/>
      <w:marBottom w:val="0"/>
      <w:divBdr>
        <w:top w:val="none" w:sz="0" w:space="0" w:color="auto"/>
        <w:left w:val="none" w:sz="0" w:space="0" w:color="auto"/>
        <w:bottom w:val="none" w:sz="0" w:space="0" w:color="auto"/>
        <w:right w:val="none" w:sz="0" w:space="0" w:color="auto"/>
      </w:divBdr>
    </w:div>
    <w:div w:id="1556087325">
      <w:bodyDiv w:val="1"/>
      <w:marLeft w:val="0"/>
      <w:marRight w:val="0"/>
      <w:marTop w:val="0"/>
      <w:marBottom w:val="0"/>
      <w:divBdr>
        <w:top w:val="none" w:sz="0" w:space="0" w:color="auto"/>
        <w:left w:val="none" w:sz="0" w:space="0" w:color="auto"/>
        <w:bottom w:val="none" w:sz="0" w:space="0" w:color="auto"/>
        <w:right w:val="none" w:sz="0" w:space="0" w:color="auto"/>
      </w:divBdr>
    </w:div>
    <w:div w:id="1565144446">
      <w:bodyDiv w:val="1"/>
      <w:marLeft w:val="0"/>
      <w:marRight w:val="0"/>
      <w:marTop w:val="0"/>
      <w:marBottom w:val="0"/>
      <w:divBdr>
        <w:top w:val="none" w:sz="0" w:space="0" w:color="auto"/>
        <w:left w:val="none" w:sz="0" w:space="0" w:color="auto"/>
        <w:bottom w:val="none" w:sz="0" w:space="0" w:color="auto"/>
        <w:right w:val="none" w:sz="0" w:space="0" w:color="auto"/>
      </w:divBdr>
    </w:div>
    <w:div w:id="1838571010">
      <w:bodyDiv w:val="1"/>
      <w:marLeft w:val="0"/>
      <w:marRight w:val="0"/>
      <w:marTop w:val="0"/>
      <w:marBottom w:val="0"/>
      <w:divBdr>
        <w:top w:val="none" w:sz="0" w:space="0" w:color="auto"/>
        <w:left w:val="none" w:sz="0" w:space="0" w:color="auto"/>
        <w:bottom w:val="none" w:sz="0" w:space="0" w:color="auto"/>
        <w:right w:val="none" w:sz="0" w:space="0" w:color="auto"/>
      </w:divBdr>
    </w:div>
    <w:div w:id="1875774544">
      <w:bodyDiv w:val="1"/>
      <w:marLeft w:val="0"/>
      <w:marRight w:val="0"/>
      <w:marTop w:val="0"/>
      <w:marBottom w:val="0"/>
      <w:divBdr>
        <w:top w:val="none" w:sz="0" w:space="0" w:color="auto"/>
        <w:left w:val="none" w:sz="0" w:space="0" w:color="auto"/>
        <w:bottom w:val="none" w:sz="0" w:space="0" w:color="auto"/>
        <w:right w:val="none" w:sz="0" w:space="0" w:color="auto"/>
      </w:divBdr>
    </w:div>
    <w:div w:id="1981690322">
      <w:bodyDiv w:val="1"/>
      <w:marLeft w:val="0"/>
      <w:marRight w:val="0"/>
      <w:marTop w:val="0"/>
      <w:marBottom w:val="0"/>
      <w:divBdr>
        <w:top w:val="none" w:sz="0" w:space="0" w:color="auto"/>
        <w:left w:val="none" w:sz="0" w:space="0" w:color="auto"/>
        <w:bottom w:val="none" w:sz="0" w:space="0" w:color="auto"/>
        <w:right w:val="none" w:sz="0" w:space="0" w:color="auto"/>
      </w:divBdr>
    </w:div>
    <w:div w:id="2004313090">
      <w:bodyDiv w:val="1"/>
      <w:marLeft w:val="0"/>
      <w:marRight w:val="0"/>
      <w:marTop w:val="0"/>
      <w:marBottom w:val="0"/>
      <w:divBdr>
        <w:top w:val="none" w:sz="0" w:space="0" w:color="auto"/>
        <w:left w:val="none" w:sz="0" w:space="0" w:color="auto"/>
        <w:bottom w:val="none" w:sz="0" w:space="0" w:color="auto"/>
        <w:right w:val="none" w:sz="0" w:space="0" w:color="auto"/>
      </w:divBdr>
    </w:div>
    <w:div w:id="2105688396">
      <w:bodyDiv w:val="1"/>
      <w:marLeft w:val="0"/>
      <w:marRight w:val="0"/>
      <w:marTop w:val="0"/>
      <w:marBottom w:val="0"/>
      <w:divBdr>
        <w:top w:val="none" w:sz="0" w:space="0" w:color="auto"/>
        <w:left w:val="none" w:sz="0" w:space="0" w:color="auto"/>
        <w:bottom w:val="none" w:sz="0" w:space="0" w:color="auto"/>
        <w:right w:val="none" w:sz="0" w:space="0" w:color="auto"/>
      </w:divBdr>
    </w:div>
    <w:div w:id="21290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AN.R-project.org/package=stargaz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ACD1-5F28-4A1E-B32C-F3E004CB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9711</Words>
  <Characters>55354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Rao</dc:creator>
  <cp:keywords/>
  <dc:description/>
  <cp:lastModifiedBy>Sean Christopher Rao</cp:lastModifiedBy>
  <cp:revision>3</cp:revision>
  <dcterms:created xsi:type="dcterms:W3CDTF">2022-09-23T18:17:00Z</dcterms:created>
  <dcterms:modified xsi:type="dcterms:W3CDTF">2022-09-23T18:19:00Z</dcterms:modified>
</cp:coreProperties>
</file>